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0B5B" w14:textId="77777777" w:rsidR="00A20880" w:rsidRDefault="00A20880"/>
    <w:p w14:paraId="540C6977" w14:textId="25BC0592" w:rsidR="00D85BA1" w:rsidRPr="00CE2C98" w:rsidRDefault="003625DA">
      <w:pPr>
        <w:pStyle w:val="Title"/>
        <w:jc w:val="center"/>
        <w:rPr>
          <w:rFonts w:ascii="Calibri" w:hAnsi="Calibri" w:cs="Calibri"/>
          <w:b/>
          <w:bCs/>
          <w:sz w:val="28"/>
          <w:szCs w:val="28"/>
        </w:rPr>
      </w:pPr>
      <w:r w:rsidRPr="00CE2C98">
        <w:rPr>
          <w:rFonts w:ascii="Calibri" w:hAnsi="Calibri" w:cs="Calibri"/>
          <w:b/>
          <w:bCs/>
          <w:sz w:val="28"/>
          <w:szCs w:val="28"/>
        </w:rPr>
        <w:t>Community Pharmacy Gloucestershire (CPG) Meeting Minutes</w:t>
      </w:r>
      <w:r w:rsidR="008C09F0" w:rsidRPr="00CE2C98">
        <w:rPr>
          <w:rFonts w:ascii="Calibri" w:hAnsi="Calibri" w:cs="Calibri"/>
          <w:b/>
          <w:bCs/>
          <w:sz w:val="28"/>
          <w:szCs w:val="28"/>
        </w:rPr>
        <w:t xml:space="preserve"> – November 13</w:t>
      </w:r>
      <w:r w:rsidR="008C09F0" w:rsidRPr="00CE2C98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8C09F0" w:rsidRPr="00CE2C98">
        <w:rPr>
          <w:rFonts w:ascii="Calibri" w:hAnsi="Calibri" w:cs="Calibri"/>
          <w:b/>
          <w:bCs/>
          <w:sz w:val="28"/>
          <w:szCs w:val="28"/>
        </w:rPr>
        <w:t xml:space="preserve"> 2025</w:t>
      </w:r>
    </w:p>
    <w:p w14:paraId="2DE5BC79" w14:textId="77777777" w:rsidR="00CE2C98" w:rsidRDefault="00CE2C98" w:rsidP="008C09F0">
      <w:pPr>
        <w:rPr>
          <w:rFonts w:ascii="Calibri" w:hAnsi="Calibri" w:cs="Calibri"/>
        </w:rPr>
      </w:pPr>
      <w:bookmarkStart w:id="0" w:name="_Hlk109042222"/>
    </w:p>
    <w:p w14:paraId="25492302" w14:textId="072B9452" w:rsidR="008C09F0" w:rsidRPr="00CE2C98" w:rsidRDefault="008C09F0" w:rsidP="008C09F0">
      <w:pPr>
        <w:rPr>
          <w:rFonts w:ascii="Calibri" w:hAnsi="Calibri" w:cs="Calibri"/>
        </w:rPr>
      </w:pPr>
      <w:r w:rsidRPr="00CE2C98">
        <w:rPr>
          <w:rFonts w:ascii="Calibri" w:hAnsi="Calibri" w:cs="Calibri"/>
          <w:b/>
        </w:rPr>
        <w:t>Apologies:</w:t>
      </w:r>
      <w:r w:rsidRPr="00CE2C98">
        <w:rPr>
          <w:rFonts w:ascii="Calibri" w:hAnsi="Calibri" w:cs="Calibri"/>
        </w:rPr>
        <w:t xml:space="preserve"> Paul Gregg (PG) – IPA,  Will Pearce – Treasurer (WP</w:t>
      </w:r>
      <w:bookmarkStart w:id="1" w:name="_Hlk113886857"/>
      <w:r w:rsidRPr="00CE2C98">
        <w:rPr>
          <w:rFonts w:ascii="Calibri" w:hAnsi="Calibri" w:cs="Calibri"/>
        </w:rPr>
        <w:t>)</w:t>
      </w:r>
      <w:bookmarkEnd w:id="1"/>
      <w:r w:rsidRPr="00CE2C98">
        <w:rPr>
          <w:rFonts w:ascii="Calibri" w:hAnsi="Calibri" w:cs="Calibri"/>
        </w:rPr>
        <w:t xml:space="preserve">, Vas </w:t>
      </w:r>
      <w:proofErr w:type="spellStart"/>
      <w:r w:rsidRPr="00CE2C98">
        <w:rPr>
          <w:rFonts w:ascii="Calibri" w:hAnsi="Calibri" w:cs="Calibri"/>
        </w:rPr>
        <w:t>Alafadimos</w:t>
      </w:r>
      <w:proofErr w:type="spellEnd"/>
      <w:r w:rsidRPr="00CE2C98">
        <w:rPr>
          <w:rFonts w:ascii="Calibri" w:hAnsi="Calibri" w:cs="Calibri"/>
        </w:rPr>
        <w:t xml:space="preserve"> – CCA (VA) and Heather Blandford – CCA (HB),  </w:t>
      </w:r>
    </w:p>
    <w:p w14:paraId="01D0D986" w14:textId="4FF96860" w:rsidR="008C09F0" w:rsidRPr="00CE2C98" w:rsidRDefault="008C09F0" w:rsidP="008C09F0">
      <w:pPr>
        <w:rPr>
          <w:rFonts w:ascii="Calibri" w:hAnsi="Calibri" w:cs="Calibri"/>
        </w:rPr>
      </w:pPr>
      <w:r w:rsidRPr="00CE2C98">
        <w:rPr>
          <w:rFonts w:ascii="Calibri" w:hAnsi="Calibri" w:cs="Calibri"/>
          <w:b/>
        </w:rPr>
        <w:t>In Attendance:</w:t>
      </w:r>
      <w:r w:rsidRPr="00CE2C98">
        <w:rPr>
          <w:rFonts w:ascii="Calibri" w:hAnsi="Calibri" w:cs="Calibri"/>
        </w:rPr>
        <w:t xml:space="preserve"> Andrew Lane- chair (AL), Rebecca Myers – Chief Officer/IPA (RM), Steve Ireland – IPA (SI), Neetan Jain – IND (NJ), Matt Mollens (MM), Peter Badham – IPA (PB) and Nicola Sinclair – CCA (NS), Wayne Ryan – CCA (WR), </w:t>
      </w:r>
      <w:bookmarkEnd w:id="0"/>
      <w:r w:rsidRPr="00CE2C98">
        <w:rPr>
          <w:rFonts w:ascii="Calibri" w:hAnsi="Calibri" w:cs="Calibri"/>
        </w:rPr>
        <w:t xml:space="preserve">Sam Bradshaw- Support Officer (SB), </w:t>
      </w:r>
      <w:proofErr w:type="spellStart"/>
      <w:r w:rsidRPr="00CE2C98">
        <w:rPr>
          <w:rFonts w:ascii="Calibri" w:hAnsi="Calibri" w:cs="Calibri"/>
        </w:rPr>
        <w:t>Etisham</w:t>
      </w:r>
      <w:proofErr w:type="spellEnd"/>
      <w:r w:rsidRPr="00CE2C98">
        <w:rPr>
          <w:rFonts w:ascii="Calibri" w:hAnsi="Calibri" w:cs="Calibri"/>
        </w:rPr>
        <w:t xml:space="preserve"> Kiani – IND (EK), Satwinder Sandha – CCA (SS)</w:t>
      </w:r>
      <w:r w:rsidR="004D1FA6">
        <w:rPr>
          <w:rFonts w:ascii="Calibri" w:hAnsi="Calibri" w:cs="Calibri"/>
        </w:rPr>
        <w:t xml:space="preserve"> </w:t>
      </w:r>
      <w:r w:rsidRPr="00CE2C98">
        <w:rPr>
          <w:rFonts w:ascii="Calibri" w:hAnsi="Calibri" w:cs="Calibri"/>
        </w:rPr>
        <w:t>and Dhiran Vadhia - IND (DV).</w:t>
      </w:r>
    </w:p>
    <w:p w14:paraId="44359C55" w14:textId="77777777" w:rsidR="008C09F0" w:rsidRPr="00CE2C98" w:rsidRDefault="008C09F0" w:rsidP="008C09F0">
      <w:pPr>
        <w:spacing w:after="0"/>
        <w:rPr>
          <w:rFonts w:ascii="Calibri" w:hAnsi="Calibri" w:cs="Calibri"/>
        </w:rPr>
      </w:pPr>
      <w:r w:rsidRPr="00CE2C98">
        <w:rPr>
          <w:rFonts w:ascii="Calibri" w:hAnsi="Calibri" w:cs="Calibri"/>
          <w:b/>
          <w:bCs/>
        </w:rPr>
        <w:t>Guests</w:t>
      </w:r>
      <w:r w:rsidRPr="00CE2C98">
        <w:rPr>
          <w:rFonts w:ascii="Calibri" w:hAnsi="Calibri" w:cs="Calibri"/>
        </w:rPr>
        <w:t xml:space="preserve"> – Nick Williams (Lupin Healthcare), Sian Retallick – virtually (CPE &amp; CPPE Rep)(SR) and Sian Williams (ICB Pharmacy Clinical Lead) (SW)</w:t>
      </w:r>
    </w:p>
    <w:p w14:paraId="24A9E87F" w14:textId="77777777" w:rsidR="008C09F0" w:rsidRPr="00CE2C98" w:rsidRDefault="008C09F0">
      <w:pPr>
        <w:rPr>
          <w:rFonts w:ascii="Calibri" w:hAnsi="Calibri" w:cs="Calibri"/>
        </w:rPr>
      </w:pPr>
    </w:p>
    <w:p w14:paraId="6D050414" w14:textId="77777777" w:rsidR="00D85BA1" w:rsidRPr="00CE2C98" w:rsidRDefault="003625DA">
      <w:pPr>
        <w:pStyle w:val="Heading1"/>
        <w:rPr>
          <w:rFonts w:ascii="Calibri" w:hAnsi="Calibri" w:cs="Calibri"/>
          <w:color w:val="auto"/>
        </w:rPr>
      </w:pPr>
      <w:r w:rsidRPr="00CE2C98">
        <w:rPr>
          <w:rFonts w:ascii="Calibri" w:hAnsi="Calibri" w:cs="Calibri"/>
          <w:color w:val="auto"/>
        </w:rPr>
        <w:t>Minutes Approval</w:t>
      </w:r>
    </w:p>
    <w:p w14:paraId="747A63E1" w14:textId="77777777" w:rsidR="00D85BA1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Previous meeting minutes reviewed and approved.</w:t>
      </w:r>
    </w:p>
    <w:p w14:paraId="1E32B554" w14:textId="77777777" w:rsidR="00452493" w:rsidRDefault="00452493" w:rsidP="00452493">
      <w:pPr>
        <w:pStyle w:val="ListBullet"/>
        <w:numPr>
          <w:ilvl w:val="0"/>
          <w:numId w:val="0"/>
        </w:numPr>
        <w:rPr>
          <w:rFonts w:ascii="Calibri" w:hAnsi="Calibri" w:cs="Calibri"/>
        </w:rPr>
      </w:pPr>
    </w:p>
    <w:p w14:paraId="58802EBA" w14:textId="2728B897" w:rsidR="00010421" w:rsidRDefault="00452493" w:rsidP="00010421">
      <w:pPr>
        <w:pStyle w:val="ListBullet"/>
        <w:numPr>
          <w:ilvl w:val="0"/>
          <w:numId w:val="0"/>
        </w:numPr>
        <w:rPr>
          <w:rFonts w:asciiTheme="majorHAnsi" w:hAnsiTheme="majorHAnsi" w:cs="Calibri"/>
          <w:sz w:val="40"/>
          <w:szCs w:val="40"/>
        </w:rPr>
      </w:pPr>
      <w:r w:rsidRPr="00010421">
        <w:rPr>
          <w:rFonts w:asciiTheme="majorHAnsi" w:hAnsiTheme="majorHAnsi" w:cs="Calibri"/>
          <w:sz w:val="40"/>
          <w:szCs w:val="40"/>
        </w:rPr>
        <w:t xml:space="preserve">Officers Report </w:t>
      </w:r>
    </w:p>
    <w:p w14:paraId="07E9A76F" w14:textId="62E739DA" w:rsidR="000504F7" w:rsidRDefault="00F903B9" w:rsidP="000504F7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Officer reports read by committee and items discussed as below.</w:t>
      </w:r>
    </w:p>
    <w:p w14:paraId="1656AF3E" w14:textId="77777777" w:rsidR="00D85BA1" w:rsidRPr="00CE2C98" w:rsidRDefault="003625DA">
      <w:pPr>
        <w:pStyle w:val="Heading1"/>
        <w:rPr>
          <w:rFonts w:ascii="Calibri" w:hAnsi="Calibri" w:cs="Calibri"/>
          <w:color w:val="auto"/>
        </w:rPr>
      </w:pPr>
      <w:r w:rsidRPr="00CE2C98">
        <w:rPr>
          <w:rFonts w:ascii="Calibri" w:hAnsi="Calibri" w:cs="Calibri"/>
          <w:color w:val="auto"/>
        </w:rPr>
        <w:t>Data Access Challenges</w:t>
      </w:r>
    </w:p>
    <w:p w14:paraId="168DA4C8" w14:textId="5800611A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 xml:space="preserve">Issue: Difficulty obtaining </w:t>
      </w:r>
      <w:r w:rsidR="008C09F0" w:rsidRPr="00CE2C98">
        <w:rPr>
          <w:rFonts w:ascii="Calibri" w:hAnsi="Calibri" w:cs="Calibri"/>
        </w:rPr>
        <w:t xml:space="preserve">provider pays </w:t>
      </w:r>
      <w:r w:rsidRPr="00CE2C98">
        <w:rPr>
          <w:rFonts w:ascii="Calibri" w:hAnsi="Calibri" w:cs="Calibri"/>
        </w:rPr>
        <w:t xml:space="preserve">service data from </w:t>
      </w:r>
      <w:r w:rsidR="008C09F0" w:rsidRPr="00CE2C98">
        <w:rPr>
          <w:rFonts w:ascii="Calibri" w:hAnsi="Calibri" w:cs="Calibri"/>
        </w:rPr>
        <w:t>Pharm</w:t>
      </w:r>
      <w:r w:rsidRPr="00CE2C98">
        <w:rPr>
          <w:rFonts w:ascii="Calibri" w:hAnsi="Calibri" w:cs="Calibri"/>
        </w:rPr>
        <w:t>Outcomes due to ICB license restrictions.</w:t>
      </w:r>
    </w:p>
    <w:p w14:paraId="52F75C87" w14:textId="77777777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Discussion: LPC cannot access contractor-level data because ICB pays for the license.</w:t>
      </w:r>
    </w:p>
    <w:p w14:paraId="76A59902" w14:textId="60E47491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 xml:space="preserve">Alternative considered </w:t>
      </w:r>
      <w:bookmarkStart w:id="2" w:name="_Hlk214455633"/>
      <w:proofErr w:type="spellStart"/>
      <w:r w:rsidR="008C09F0" w:rsidRPr="00CE2C98">
        <w:rPr>
          <w:rFonts w:ascii="Calibri" w:hAnsi="Calibri" w:cs="Calibri"/>
        </w:rPr>
        <w:t>C</w:t>
      </w:r>
      <w:r w:rsidRPr="00CE2C98">
        <w:rPr>
          <w:rFonts w:ascii="Calibri" w:hAnsi="Calibri" w:cs="Calibri"/>
        </w:rPr>
        <w:t>e</w:t>
      </w:r>
      <w:r w:rsidR="00EA11C9">
        <w:rPr>
          <w:rFonts w:ascii="Calibri" w:hAnsi="Calibri" w:cs="Calibri"/>
        </w:rPr>
        <w:t>ge</w:t>
      </w:r>
      <w:r w:rsidRPr="00CE2C98">
        <w:rPr>
          <w:rFonts w:ascii="Calibri" w:hAnsi="Calibri" w:cs="Calibri"/>
        </w:rPr>
        <w:t>d</w:t>
      </w:r>
      <w:r w:rsidR="00EA11C9">
        <w:rPr>
          <w:rFonts w:ascii="Calibri" w:hAnsi="Calibri" w:cs="Calibri"/>
        </w:rPr>
        <w:t>i</w:t>
      </w:r>
      <w:r w:rsidRPr="00CE2C98">
        <w:rPr>
          <w:rFonts w:ascii="Calibri" w:hAnsi="Calibri" w:cs="Calibri"/>
        </w:rPr>
        <w:t>m</w:t>
      </w:r>
      <w:bookmarkEnd w:id="2"/>
      <w:proofErr w:type="spellEnd"/>
      <w:r w:rsidRPr="00CE2C98">
        <w:rPr>
          <w:rFonts w:ascii="Calibri" w:hAnsi="Calibri" w:cs="Calibri"/>
        </w:rPr>
        <w:t xml:space="preserve"> dashboard for LPC-level reporting.</w:t>
      </w:r>
    </w:p>
    <w:p w14:paraId="49EBC621" w14:textId="791708F8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 xml:space="preserve">Action: </w:t>
      </w:r>
      <w:r w:rsidR="008C09F0" w:rsidRPr="00CE2C98">
        <w:rPr>
          <w:rFonts w:ascii="Calibri" w:hAnsi="Calibri" w:cs="Calibri"/>
        </w:rPr>
        <w:t>SB</w:t>
      </w:r>
      <w:r w:rsidRPr="00CE2C98">
        <w:rPr>
          <w:rFonts w:ascii="Calibri" w:hAnsi="Calibri" w:cs="Calibri"/>
        </w:rPr>
        <w:t xml:space="preserve"> to explore</w:t>
      </w:r>
      <w:r w:rsidR="0035627B" w:rsidRPr="0035627B">
        <w:rPr>
          <w:rFonts w:ascii="Calibri" w:hAnsi="Calibri" w:cs="Calibri"/>
        </w:rPr>
        <w:t xml:space="preserve"> </w:t>
      </w:r>
      <w:proofErr w:type="spellStart"/>
      <w:r w:rsidR="0035627B" w:rsidRPr="00CE2C98">
        <w:rPr>
          <w:rFonts w:ascii="Calibri" w:hAnsi="Calibri" w:cs="Calibri"/>
        </w:rPr>
        <w:t>Ce</w:t>
      </w:r>
      <w:r w:rsidR="0035627B">
        <w:rPr>
          <w:rFonts w:ascii="Calibri" w:hAnsi="Calibri" w:cs="Calibri"/>
        </w:rPr>
        <w:t>ge</w:t>
      </w:r>
      <w:r w:rsidR="0035627B" w:rsidRPr="00CE2C98">
        <w:rPr>
          <w:rFonts w:ascii="Calibri" w:hAnsi="Calibri" w:cs="Calibri"/>
        </w:rPr>
        <w:t>d</w:t>
      </w:r>
      <w:r w:rsidR="0035627B">
        <w:rPr>
          <w:rFonts w:ascii="Calibri" w:hAnsi="Calibri" w:cs="Calibri"/>
        </w:rPr>
        <w:t>i</w:t>
      </w:r>
      <w:r w:rsidR="0035627B" w:rsidRPr="00CE2C98">
        <w:rPr>
          <w:rFonts w:ascii="Calibri" w:hAnsi="Calibri" w:cs="Calibri"/>
        </w:rPr>
        <w:t>m</w:t>
      </w:r>
      <w:proofErr w:type="spellEnd"/>
      <w:r w:rsidR="0035627B" w:rsidRPr="00CE2C98">
        <w:rPr>
          <w:rFonts w:ascii="Calibri" w:hAnsi="Calibri" w:cs="Calibri"/>
        </w:rPr>
        <w:t xml:space="preserve"> </w:t>
      </w:r>
      <w:r w:rsidR="00F903B9">
        <w:rPr>
          <w:rFonts w:ascii="Calibri" w:hAnsi="Calibri" w:cs="Calibri"/>
        </w:rPr>
        <w:t>d</w:t>
      </w:r>
      <w:r w:rsidRPr="00CE2C98">
        <w:rPr>
          <w:rFonts w:ascii="Calibri" w:hAnsi="Calibri" w:cs="Calibri"/>
        </w:rPr>
        <w:t>ashboard options and report back.</w:t>
      </w:r>
    </w:p>
    <w:p w14:paraId="751CC91C" w14:textId="77777777" w:rsidR="00D85BA1" w:rsidRPr="00CE2C98" w:rsidRDefault="003625DA">
      <w:pPr>
        <w:pStyle w:val="Heading1"/>
        <w:rPr>
          <w:rFonts w:ascii="Calibri" w:hAnsi="Calibri" w:cs="Calibri"/>
          <w:color w:val="auto"/>
        </w:rPr>
      </w:pPr>
      <w:r w:rsidRPr="00CE2C98">
        <w:rPr>
          <w:rFonts w:ascii="Calibri" w:hAnsi="Calibri" w:cs="Calibri"/>
          <w:color w:val="auto"/>
        </w:rPr>
        <w:t>Pharmacy First &amp; Service Delivery</w:t>
      </w:r>
    </w:p>
    <w:p w14:paraId="6C5C314D" w14:textId="22F1DC9A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Concerns raised about national changes</w:t>
      </w:r>
      <w:r w:rsidR="008C09F0" w:rsidRPr="00CE2C98">
        <w:rPr>
          <w:rFonts w:ascii="Calibri" w:hAnsi="Calibri" w:cs="Calibri"/>
        </w:rPr>
        <w:t xml:space="preserve"> (PharmOutcomes)</w:t>
      </w:r>
      <w:r w:rsidRPr="00CE2C98">
        <w:rPr>
          <w:rFonts w:ascii="Calibri" w:hAnsi="Calibri" w:cs="Calibri"/>
        </w:rPr>
        <w:t xml:space="preserve"> without notice (e.g., patient registration requirements)</w:t>
      </w:r>
      <w:r w:rsidR="008C09F0" w:rsidRPr="00CE2C98">
        <w:rPr>
          <w:rFonts w:ascii="Calibri" w:hAnsi="Calibri" w:cs="Calibri"/>
        </w:rPr>
        <w:t xml:space="preserve"> confusion from Contractors over change of recording template</w:t>
      </w:r>
      <w:r w:rsidRPr="00CE2C98">
        <w:rPr>
          <w:rFonts w:ascii="Calibri" w:hAnsi="Calibri" w:cs="Calibri"/>
        </w:rPr>
        <w:t>.</w:t>
      </w:r>
    </w:p>
    <w:p w14:paraId="27DC5A2D" w14:textId="77777777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Discussion on flu and COVID vaccination recording systems and NHS data delays.</w:t>
      </w:r>
    </w:p>
    <w:p w14:paraId="4B7C25EC" w14:textId="5ED2CA53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Action: S</w:t>
      </w:r>
      <w:r w:rsidR="008C09F0" w:rsidRPr="00CE2C98">
        <w:rPr>
          <w:rFonts w:ascii="Calibri" w:hAnsi="Calibri" w:cs="Calibri"/>
        </w:rPr>
        <w:t>B</w:t>
      </w:r>
      <w:r w:rsidRPr="00CE2C98">
        <w:rPr>
          <w:rFonts w:ascii="Calibri" w:hAnsi="Calibri" w:cs="Calibri"/>
        </w:rPr>
        <w:t xml:space="preserve"> to monitor changes and update contractors regularly.</w:t>
      </w:r>
    </w:p>
    <w:p w14:paraId="74C7A3B3" w14:textId="77777777" w:rsidR="00D85BA1" w:rsidRPr="00CE2C98" w:rsidRDefault="003625DA">
      <w:pPr>
        <w:pStyle w:val="Heading1"/>
        <w:rPr>
          <w:rFonts w:ascii="Calibri" w:hAnsi="Calibri" w:cs="Calibri"/>
          <w:color w:val="auto"/>
        </w:rPr>
      </w:pPr>
      <w:r w:rsidRPr="00CE2C98">
        <w:rPr>
          <w:rFonts w:ascii="Calibri" w:hAnsi="Calibri" w:cs="Calibri"/>
          <w:color w:val="auto"/>
        </w:rPr>
        <w:lastRenderedPageBreak/>
        <w:t>Funding &amp; Sustainability</w:t>
      </w:r>
    </w:p>
    <w:p w14:paraId="29E0097B" w14:textId="77777777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Sector under severe financial pressure; highlighted by Jhoots closures and Day Lewis losses.</w:t>
      </w:r>
    </w:p>
    <w:p w14:paraId="12D88C7A" w14:textId="77777777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Consensus: Funding shortfall is systemic, not just mismanagement.</w:t>
      </w:r>
    </w:p>
    <w:p w14:paraId="1891E12A" w14:textId="77777777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Proposal: Develop a local media campaign to highlight funding issues and promote Pharmacy First.</w:t>
      </w:r>
    </w:p>
    <w:p w14:paraId="2F77CE9E" w14:textId="239593B2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Action: A</w:t>
      </w:r>
      <w:r w:rsidR="008C09F0" w:rsidRPr="00CE2C98">
        <w:rPr>
          <w:rFonts w:ascii="Calibri" w:hAnsi="Calibri" w:cs="Calibri"/>
        </w:rPr>
        <w:t>L</w:t>
      </w:r>
      <w:r w:rsidRPr="00CE2C98">
        <w:rPr>
          <w:rFonts w:ascii="Calibri" w:hAnsi="Calibri" w:cs="Calibri"/>
        </w:rPr>
        <w:t xml:space="preserve"> and </w:t>
      </w:r>
      <w:r w:rsidR="008C09F0" w:rsidRPr="00CE2C98">
        <w:rPr>
          <w:rFonts w:ascii="Calibri" w:hAnsi="Calibri" w:cs="Calibri"/>
        </w:rPr>
        <w:t>RM</w:t>
      </w:r>
      <w:r w:rsidRPr="00CE2C98">
        <w:rPr>
          <w:rFonts w:ascii="Calibri" w:hAnsi="Calibri" w:cs="Calibri"/>
        </w:rPr>
        <w:t xml:space="preserve"> to draft campaign plan for January meeting.</w:t>
      </w:r>
    </w:p>
    <w:p w14:paraId="223E4C61" w14:textId="77777777" w:rsidR="00D85BA1" w:rsidRPr="00CE2C98" w:rsidRDefault="003625DA">
      <w:pPr>
        <w:pStyle w:val="Heading1"/>
        <w:rPr>
          <w:rFonts w:ascii="Calibri" w:hAnsi="Calibri" w:cs="Calibri"/>
          <w:color w:val="auto"/>
        </w:rPr>
      </w:pPr>
      <w:r w:rsidRPr="00CE2C98">
        <w:rPr>
          <w:rFonts w:ascii="Calibri" w:hAnsi="Calibri" w:cs="Calibri"/>
          <w:color w:val="auto"/>
        </w:rPr>
        <w:t>Voluntary Sector Engagement</w:t>
      </w:r>
    </w:p>
    <w:p w14:paraId="4B04FBEE" w14:textId="77777777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Opportunities to collaborate with VCSE organizations (e.g., Age UK, dementia charities).</w:t>
      </w:r>
    </w:p>
    <w:p w14:paraId="1941B95F" w14:textId="77777777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Ideas: Outreach blood pressure checks at community hubs; Microsites for health promotion.</w:t>
      </w:r>
    </w:p>
    <w:p w14:paraId="0971382C" w14:textId="4301D909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 xml:space="preserve">Action: </w:t>
      </w:r>
      <w:r w:rsidR="008C09F0" w:rsidRPr="00CE2C98">
        <w:rPr>
          <w:rFonts w:ascii="Calibri" w:hAnsi="Calibri" w:cs="Calibri"/>
        </w:rPr>
        <w:t>RM</w:t>
      </w:r>
      <w:r w:rsidRPr="00CE2C98">
        <w:rPr>
          <w:rFonts w:ascii="Calibri" w:hAnsi="Calibri" w:cs="Calibri"/>
        </w:rPr>
        <w:t xml:space="preserve"> to discuss strategic partnerships with Matt (VCSE lead) at next meeting.</w:t>
      </w:r>
    </w:p>
    <w:p w14:paraId="5784AE79" w14:textId="77777777" w:rsidR="00D85BA1" w:rsidRPr="00CE2C98" w:rsidRDefault="003625DA">
      <w:pPr>
        <w:pStyle w:val="Heading1"/>
        <w:rPr>
          <w:rFonts w:ascii="Calibri" w:hAnsi="Calibri" w:cs="Calibri"/>
          <w:color w:val="auto"/>
        </w:rPr>
      </w:pPr>
      <w:r w:rsidRPr="00CE2C98">
        <w:rPr>
          <w:rFonts w:ascii="Calibri" w:hAnsi="Calibri" w:cs="Calibri"/>
          <w:color w:val="auto"/>
        </w:rPr>
        <w:t>Independent Prescribing (IP) Strategy</w:t>
      </w:r>
    </w:p>
    <w:p w14:paraId="18264488" w14:textId="77777777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IP pharmacists critical for future services; funding uncertainty post-March.</w:t>
      </w:r>
    </w:p>
    <w:p w14:paraId="0F1FD074" w14:textId="77777777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Concerns: Governance and support for IP rollout; Potential 4-month gap in service commissioning.</w:t>
      </w:r>
    </w:p>
    <w:p w14:paraId="528CAAB6" w14:textId="501349F5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Action: S</w:t>
      </w:r>
      <w:r w:rsidR="008C09F0" w:rsidRPr="00CE2C98">
        <w:rPr>
          <w:rFonts w:ascii="Calibri" w:hAnsi="Calibri" w:cs="Calibri"/>
        </w:rPr>
        <w:t>R</w:t>
      </w:r>
      <w:r w:rsidRPr="00CE2C98">
        <w:rPr>
          <w:rFonts w:ascii="Calibri" w:hAnsi="Calibri" w:cs="Calibri"/>
        </w:rPr>
        <w:t xml:space="preserve"> to escalate funding gap and governance concerns to CPE.</w:t>
      </w:r>
    </w:p>
    <w:p w14:paraId="797DE746" w14:textId="77777777" w:rsidR="00D85BA1" w:rsidRPr="00CE2C98" w:rsidRDefault="003625DA">
      <w:pPr>
        <w:pStyle w:val="Heading1"/>
        <w:rPr>
          <w:rFonts w:ascii="Calibri" w:hAnsi="Calibri" w:cs="Calibri"/>
          <w:color w:val="auto"/>
        </w:rPr>
      </w:pPr>
      <w:r w:rsidRPr="00CE2C98">
        <w:rPr>
          <w:rFonts w:ascii="Calibri" w:hAnsi="Calibri" w:cs="Calibri"/>
          <w:color w:val="auto"/>
        </w:rPr>
        <w:t>Contracting Issues (Jhoots closures)</w:t>
      </w:r>
    </w:p>
    <w:p w14:paraId="6E1E5C7E" w14:textId="77777777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Four Jhoots sites in Gloucestershire affected; two closed, two intermittently open.</w:t>
      </w:r>
    </w:p>
    <w:p w14:paraId="1DCF358D" w14:textId="77777777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Discussion: NHS England exploring breach notices; Impact on local pharmacies picking up extra workload.</w:t>
      </w:r>
    </w:p>
    <w:p w14:paraId="31462BBB" w14:textId="77777777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Action: LPC to push ICB for clarity and support for affected contractors.</w:t>
      </w:r>
    </w:p>
    <w:p w14:paraId="6C085FAD" w14:textId="77777777" w:rsidR="00D85BA1" w:rsidRPr="00CE2C98" w:rsidRDefault="003625DA">
      <w:pPr>
        <w:pStyle w:val="Heading1"/>
        <w:rPr>
          <w:rFonts w:ascii="Calibri" w:hAnsi="Calibri" w:cs="Calibri"/>
          <w:color w:val="auto"/>
        </w:rPr>
      </w:pPr>
      <w:r w:rsidRPr="00CE2C98">
        <w:rPr>
          <w:rFonts w:ascii="Calibri" w:hAnsi="Calibri" w:cs="Calibri"/>
          <w:color w:val="auto"/>
        </w:rPr>
        <w:t>COVID Vaccination Eligibility Issue</w:t>
      </w:r>
    </w:p>
    <w:p w14:paraId="184B5946" w14:textId="77777777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Data shows up to 47% of administered vaccines flagged as ineligible.</w:t>
      </w:r>
    </w:p>
    <w:p w14:paraId="1DAC9BC9" w14:textId="77777777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Risk: Pharmacies may not be paid for these doses.</w:t>
      </w:r>
    </w:p>
    <w:p w14:paraId="01E14132" w14:textId="0D597DE6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 xml:space="preserve">Action: </w:t>
      </w:r>
      <w:r w:rsidR="008C09F0" w:rsidRPr="00CE2C98">
        <w:rPr>
          <w:rFonts w:ascii="Calibri" w:hAnsi="Calibri" w:cs="Calibri"/>
        </w:rPr>
        <w:t>RM</w:t>
      </w:r>
      <w:r w:rsidRPr="00CE2C98">
        <w:rPr>
          <w:rFonts w:ascii="Calibri" w:hAnsi="Calibri" w:cs="Calibri"/>
        </w:rPr>
        <w:t xml:space="preserve"> escalated to James Wood; S</w:t>
      </w:r>
      <w:r w:rsidR="008C09F0" w:rsidRPr="00CE2C98">
        <w:rPr>
          <w:rFonts w:ascii="Calibri" w:hAnsi="Calibri" w:cs="Calibri"/>
        </w:rPr>
        <w:t xml:space="preserve">R </w:t>
      </w:r>
      <w:r w:rsidRPr="00CE2C98">
        <w:rPr>
          <w:rFonts w:ascii="Calibri" w:hAnsi="Calibri" w:cs="Calibri"/>
        </w:rPr>
        <w:t>to raise with CPE urgently.</w:t>
      </w:r>
    </w:p>
    <w:p w14:paraId="0E993BD4" w14:textId="77777777" w:rsidR="00DB5B5B" w:rsidRPr="00CE2C98" w:rsidRDefault="00DB5B5B" w:rsidP="00DB5B5B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</w:rPr>
      </w:pPr>
    </w:p>
    <w:p w14:paraId="2798E3D2" w14:textId="77777777" w:rsidR="00DB5B5B" w:rsidRPr="00DB5B5B" w:rsidRDefault="00DB5B5B" w:rsidP="00DB5B5B">
      <w:pPr>
        <w:ind w:left="360" w:hanging="360"/>
        <w:contextualSpacing/>
        <w:rPr>
          <w:rFonts w:ascii="Calibri" w:hAnsi="Calibri" w:cs="Calibri"/>
          <w:sz w:val="40"/>
          <w:szCs w:val="40"/>
        </w:rPr>
      </w:pPr>
      <w:r w:rsidRPr="00DB5B5B">
        <w:rPr>
          <w:rFonts w:ascii="Calibri" w:hAnsi="Calibri" w:cs="Calibri"/>
          <w:sz w:val="40"/>
          <w:szCs w:val="40"/>
        </w:rPr>
        <w:t>ICB Update (SW)</w:t>
      </w:r>
    </w:p>
    <w:p w14:paraId="2F68C4C9" w14:textId="77777777" w:rsidR="00DB5B5B" w:rsidRPr="00DB5B5B" w:rsidRDefault="00DB5B5B" w:rsidP="00DB5B5B">
      <w:pPr>
        <w:numPr>
          <w:ilvl w:val="0"/>
          <w:numId w:val="17"/>
        </w:numPr>
        <w:contextualSpacing/>
        <w:rPr>
          <w:rFonts w:ascii="Calibri" w:hAnsi="Calibri" w:cs="Calibri"/>
          <w:lang w:val="en-GB"/>
        </w:rPr>
      </w:pPr>
      <w:r w:rsidRPr="00DB5B5B">
        <w:rPr>
          <w:rFonts w:ascii="Calibri" w:hAnsi="Calibri" w:cs="Calibri"/>
          <w:lang w:val="en-GB"/>
        </w:rPr>
        <w:t>NHS 10 yr Plan - medium term planning.</w:t>
      </w:r>
    </w:p>
    <w:p w14:paraId="61521029" w14:textId="77777777" w:rsidR="00DB5B5B" w:rsidRPr="00DB5B5B" w:rsidRDefault="00DB5B5B" w:rsidP="00DB5B5B">
      <w:pPr>
        <w:numPr>
          <w:ilvl w:val="0"/>
          <w:numId w:val="17"/>
        </w:numPr>
        <w:contextualSpacing/>
        <w:rPr>
          <w:rFonts w:ascii="Calibri" w:hAnsi="Calibri" w:cs="Calibri"/>
          <w:lang w:val="en-GB"/>
        </w:rPr>
      </w:pPr>
      <w:r w:rsidRPr="00DB5B5B">
        <w:rPr>
          <w:rFonts w:ascii="Calibri" w:hAnsi="Calibri" w:cs="Calibri"/>
          <w:lang w:val="en-GB"/>
        </w:rPr>
        <w:lastRenderedPageBreak/>
        <w:t>Pathfinder</w:t>
      </w:r>
    </w:p>
    <w:p w14:paraId="2442D721" w14:textId="77777777" w:rsidR="00DB5B5B" w:rsidRPr="00DB5B5B" w:rsidRDefault="00DB5B5B" w:rsidP="00DB5B5B">
      <w:pPr>
        <w:numPr>
          <w:ilvl w:val="0"/>
          <w:numId w:val="17"/>
        </w:numPr>
        <w:contextualSpacing/>
        <w:rPr>
          <w:rFonts w:ascii="Calibri" w:hAnsi="Calibri" w:cs="Calibri"/>
          <w:lang w:val="en-GB"/>
        </w:rPr>
      </w:pPr>
      <w:r w:rsidRPr="00DB5B5B">
        <w:rPr>
          <w:rFonts w:ascii="Calibri" w:hAnsi="Calibri" w:cs="Calibri"/>
          <w:lang w:val="en-GB"/>
        </w:rPr>
        <w:t xml:space="preserve">Teach &amp; Treat funding </w:t>
      </w:r>
    </w:p>
    <w:p w14:paraId="3343C57C" w14:textId="77777777" w:rsidR="00DB5B5B" w:rsidRDefault="00DB5B5B" w:rsidP="00DB5B5B">
      <w:pPr>
        <w:numPr>
          <w:ilvl w:val="0"/>
          <w:numId w:val="17"/>
        </w:numPr>
        <w:contextualSpacing/>
        <w:rPr>
          <w:rFonts w:ascii="Calibri" w:hAnsi="Calibri" w:cs="Calibri"/>
          <w:lang w:val="en-GB"/>
        </w:rPr>
      </w:pPr>
      <w:r w:rsidRPr="00DB5B5B">
        <w:rPr>
          <w:rFonts w:ascii="Calibri" w:hAnsi="Calibri" w:cs="Calibri"/>
          <w:lang w:val="en-GB"/>
        </w:rPr>
        <w:t xml:space="preserve">Clinical recording </w:t>
      </w:r>
    </w:p>
    <w:p w14:paraId="3B6790D2" w14:textId="5B2E3C28" w:rsidR="00A3676C" w:rsidRPr="00DB5B5B" w:rsidRDefault="003625DA" w:rsidP="00DB5B5B">
      <w:pPr>
        <w:numPr>
          <w:ilvl w:val="0"/>
          <w:numId w:val="17"/>
        </w:numPr>
        <w:contextualSpacing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GP Connect</w:t>
      </w:r>
    </w:p>
    <w:p w14:paraId="49FBFE3D" w14:textId="77777777" w:rsidR="00DB5B5B" w:rsidRPr="00CE2C98" w:rsidRDefault="00DB5B5B" w:rsidP="00DB5B5B">
      <w:pPr>
        <w:numPr>
          <w:ilvl w:val="0"/>
          <w:numId w:val="17"/>
        </w:numPr>
        <w:contextualSpacing/>
        <w:rPr>
          <w:rFonts w:ascii="Calibri" w:hAnsi="Calibri" w:cs="Calibri"/>
          <w:lang w:val="en-GB"/>
        </w:rPr>
      </w:pPr>
      <w:r w:rsidRPr="00DB5B5B">
        <w:rPr>
          <w:rFonts w:ascii="Calibri" w:hAnsi="Calibri" w:cs="Calibri"/>
          <w:lang w:val="en-GB"/>
        </w:rPr>
        <w:t>Services</w:t>
      </w:r>
    </w:p>
    <w:p w14:paraId="6AE5F1A6" w14:textId="77777777" w:rsidR="00DB5B5B" w:rsidRPr="00DB5B5B" w:rsidRDefault="00DB5B5B" w:rsidP="00DB5B5B">
      <w:pPr>
        <w:ind w:left="720"/>
        <w:contextualSpacing/>
        <w:rPr>
          <w:rFonts w:ascii="Calibri" w:hAnsi="Calibri" w:cs="Calibri"/>
          <w:lang w:val="en-GB"/>
        </w:rPr>
      </w:pPr>
    </w:p>
    <w:p w14:paraId="2BB04E81" w14:textId="538A02D7" w:rsidR="008C09F0" w:rsidRPr="00CE2C98" w:rsidRDefault="00DB5B5B" w:rsidP="00DB5B5B">
      <w:pPr>
        <w:ind w:left="360" w:hanging="360"/>
        <w:contextualSpacing/>
        <w:rPr>
          <w:rFonts w:ascii="Calibri" w:hAnsi="Calibri" w:cs="Calibri"/>
          <w:sz w:val="40"/>
          <w:szCs w:val="40"/>
        </w:rPr>
      </w:pPr>
      <w:r w:rsidRPr="00CE2C98">
        <w:rPr>
          <w:rFonts w:ascii="Calibri" w:hAnsi="Calibri" w:cs="Calibri"/>
          <w:sz w:val="40"/>
          <w:szCs w:val="40"/>
        </w:rPr>
        <w:t>GCC PHES</w:t>
      </w:r>
      <w:r w:rsidRPr="00DB5B5B">
        <w:rPr>
          <w:rFonts w:ascii="Calibri" w:hAnsi="Calibri" w:cs="Calibri"/>
          <w:sz w:val="40"/>
          <w:szCs w:val="40"/>
        </w:rPr>
        <w:t xml:space="preserve"> </w:t>
      </w:r>
    </w:p>
    <w:p w14:paraId="2F415B7B" w14:textId="5E586681" w:rsidR="00DB5B5B" w:rsidRPr="00CE2C98" w:rsidRDefault="00DB5B5B" w:rsidP="00DB5B5B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 w:rsidRPr="00CE2C98">
        <w:rPr>
          <w:rFonts w:ascii="Calibri" w:hAnsi="Calibri" w:cs="Calibri"/>
        </w:rPr>
        <w:t>GCC Staff Flu 1200 vaccinations to date, 4 walk in clinics provided with a further two requested to meet high demand.</w:t>
      </w:r>
    </w:p>
    <w:p w14:paraId="2BBD45F4" w14:textId="286500BC" w:rsidR="00DB5B5B" w:rsidRPr="00CE2C98" w:rsidRDefault="00DB5B5B" w:rsidP="00DB5B5B">
      <w:pPr>
        <w:pStyle w:val="ListParagraph"/>
        <w:numPr>
          <w:ilvl w:val="0"/>
          <w:numId w:val="21"/>
        </w:numPr>
        <w:rPr>
          <w:rFonts w:ascii="Calibri" w:hAnsi="Calibri" w:cs="Calibri"/>
          <w:lang w:val="en-GB"/>
        </w:rPr>
      </w:pPr>
      <w:r w:rsidRPr="00CE2C98">
        <w:rPr>
          <w:rFonts w:ascii="Calibri" w:hAnsi="Calibri" w:cs="Calibri"/>
          <w:lang w:val="en-GB"/>
        </w:rPr>
        <w:t xml:space="preserve">PHES Contract – EHC local service to be decommissioned once national service has been established. Smoking Cessation service to be decommissioned due to very low uptake. </w:t>
      </w:r>
      <w:r w:rsidR="00521F8E" w:rsidRPr="00CE2C98">
        <w:rPr>
          <w:rFonts w:ascii="Calibri" w:hAnsi="Calibri" w:cs="Calibri"/>
          <w:lang w:val="en-GB"/>
        </w:rPr>
        <w:t>NRT Voucher Scheme to remain but patients will be given option to have Vouchers sent direct to DSP. Sharps to be discussed at next GCC</w:t>
      </w:r>
      <w:r w:rsidR="009C6599" w:rsidRPr="00CE2C98">
        <w:rPr>
          <w:rFonts w:ascii="Calibri" w:hAnsi="Calibri" w:cs="Calibri"/>
          <w:lang w:val="en-GB"/>
        </w:rPr>
        <w:t xml:space="preserve"> internal</w:t>
      </w:r>
      <w:r w:rsidR="00521F8E" w:rsidRPr="00CE2C98">
        <w:rPr>
          <w:rFonts w:ascii="Calibri" w:hAnsi="Calibri" w:cs="Calibri"/>
          <w:lang w:val="en-GB"/>
        </w:rPr>
        <w:t xml:space="preserve"> meeting.</w:t>
      </w:r>
    </w:p>
    <w:p w14:paraId="5FB8FD91" w14:textId="77777777" w:rsidR="008C09F0" w:rsidRPr="00CE2C98" w:rsidRDefault="008C09F0" w:rsidP="008C09F0">
      <w:pPr>
        <w:pStyle w:val="ListBullet"/>
        <w:numPr>
          <w:ilvl w:val="0"/>
          <w:numId w:val="0"/>
        </w:numPr>
        <w:ind w:left="360"/>
        <w:rPr>
          <w:rFonts w:ascii="Calibri" w:hAnsi="Calibri" w:cs="Calibri"/>
          <w:lang w:val="en-GB"/>
        </w:rPr>
      </w:pPr>
    </w:p>
    <w:p w14:paraId="398EC01B" w14:textId="77777777" w:rsidR="00D85BA1" w:rsidRPr="00CE2C98" w:rsidRDefault="003625DA">
      <w:pPr>
        <w:pStyle w:val="Heading1"/>
        <w:rPr>
          <w:rFonts w:ascii="Calibri" w:hAnsi="Calibri" w:cs="Calibri"/>
          <w:color w:val="auto"/>
        </w:rPr>
      </w:pPr>
      <w:r w:rsidRPr="00CE2C98">
        <w:rPr>
          <w:rFonts w:ascii="Calibri" w:hAnsi="Calibri" w:cs="Calibri"/>
          <w:color w:val="auto"/>
        </w:rPr>
        <w:t>Other Business</w:t>
      </w:r>
    </w:p>
    <w:p w14:paraId="346C9458" w14:textId="60BC54AB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LPC Conference on 25 Nov: A</w:t>
      </w:r>
      <w:r w:rsidR="008C09F0" w:rsidRPr="00CE2C98">
        <w:rPr>
          <w:rFonts w:ascii="Calibri" w:hAnsi="Calibri" w:cs="Calibri"/>
        </w:rPr>
        <w:t>L</w:t>
      </w:r>
      <w:r w:rsidRPr="00CE2C98">
        <w:rPr>
          <w:rFonts w:ascii="Calibri" w:hAnsi="Calibri" w:cs="Calibri"/>
        </w:rPr>
        <w:t xml:space="preserve"> and N</w:t>
      </w:r>
      <w:r w:rsidR="008C09F0" w:rsidRPr="00CE2C98">
        <w:rPr>
          <w:rFonts w:ascii="Calibri" w:hAnsi="Calibri" w:cs="Calibri"/>
        </w:rPr>
        <w:t xml:space="preserve">S </w:t>
      </w:r>
      <w:r w:rsidRPr="00CE2C98">
        <w:rPr>
          <w:rFonts w:ascii="Calibri" w:hAnsi="Calibri" w:cs="Calibri"/>
        </w:rPr>
        <w:t>confirmed attendance.</w:t>
      </w:r>
    </w:p>
    <w:p w14:paraId="4483B7DB" w14:textId="520F9211" w:rsidR="00D85BA1" w:rsidRPr="00CE2C98" w:rsidRDefault="003625DA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Core hours flexibility: Awaiting update from CPE; S</w:t>
      </w:r>
      <w:r w:rsidR="008C09F0" w:rsidRPr="00CE2C98">
        <w:rPr>
          <w:rFonts w:ascii="Calibri" w:hAnsi="Calibri" w:cs="Calibri"/>
        </w:rPr>
        <w:t>R</w:t>
      </w:r>
      <w:r w:rsidRPr="00CE2C98">
        <w:rPr>
          <w:rFonts w:ascii="Calibri" w:hAnsi="Calibri" w:cs="Calibri"/>
        </w:rPr>
        <w:t xml:space="preserve"> to follow up with Gordon Hockey.</w:t>
      </w:r>
    </w:p>
    <w:p w14:paraId="0BEC4BE9" w14:textId="1AE472F7" w:rsidR="00521F8E" w:rsidRPr="00CE2C98" w:rsidRDefault="00521F8E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Hospital Rx quality discussed, audit proposed by PB. GHT discharge supply of 7 days needs to be changed to 14 days. Request to GHT. RM</w:t>
      </w:r>
    </w:p>
    <w:p w14:paraId="56A6604B" w14:textId="42301F62" w:rsidR="00521F8E" w:rsidRPr="00CE2C98" w:rsidRDefault="00521F8E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Budget request for Careers event in January</w:t>
      </w:r>
    </w:p>
    <w:p w14:paraId="2A92D78D" w14:textId="58C086C4" w:rsidR="00521F8E" w:rsidRPr="00CE2C98" w:rsidRDefault="00521F8E">
      <w:pPr>
        <w:pStyle w:val="ListBullet"/>
        <w:rPr>
          <w:rFonts w:ascii="Calibri" w:hAnsi="Calibri" w:cs="Calibri"/>
        </w:rPr>
      </w:pPr>
      <w:r w:rsidRPr="00CE2C98">
        <w:rPr>
          <w:rFonts w:ascii="Calibri" w:hAnsi="Calibri" w:cs="Calibri"/>
        </w:rPr>
        <w:t>Dates for 2026 meeting re scheduled so as not to conflict with other LPC’s. – dates agreed : Jan 14</w:t>
      </w:r>
      <w:r w:rsidRPr="00CE2C98">
        <w:rPr>
          <w:rFonts w:ascii="Calibri" w:hAnsi="Calibri" w:cs="Calibri"/>
          <w:vertAlign w:val="superscript"/>
        </w:rPr>
        <w:t>th</w:t>
      </w:r>
      <w:r w:rsidRPr="00CE2C98">
        <w:rPr>
          <w:rFonts w:ascii="Calibri" w:hAnsi="Calibri" w:cs="Calibri"/>
        </w:rPr>
        <w:t>, March 19</w:t>
      </w:r>
      <w:r w:rsidRPr="00CE2C98">
        <w:rPr>
          <w:rFonts w:ascii="Calibri" w:hAnsi="Calibri" w:cs="Calibri"/>
          <w:vertAlign w:val="superscript"/>
        </w:rPr>
        <w:t>th</w:t>
      </w:r>
      <w:r w:rsidRPr="00CE2C98">
        <w:rPr>
          <w:rFonts w:ascii="Calibri" w:hAnsi="Calibri" w:cs="Calibri"/>
        </w:rPr>
        <w:t>, May 14</w:t>
      </w:r>
      <w:r w:rsidRPr="00CE2C98">
        <w:rPr>
          <w:rFonts w:ascii="Calibri" w:hAnsi="Calibri" w:cs="Calibri"/>
          <w:vertAlign w:val="superscript"/>
        </w:rPr>
        <w:t>th</w:t>
      </w:r>
      <w:r w:rsidRPr="00CE2C98">
        <w:rPr>
          <w:rFonts w:ascii="Calibri" w:hAnsi="Calibri" w:cs="Calibri"/>
        </w:rPr>
        <w:t>, July 8</w:t>
      </w:r>
      <w:r w:rsidRPr="00CE2C98">
        <w:rPr>
          <w:rFonts w:ascii="Calibri" w:hAnsi="Calibri" w:cs="Calibri"/>
          <w:vertAlign w:val="superscript"/>
        </w:rPr>
        <w:t>th</w:t>
      </w:r>
      <w:r w:rsidRPr="00CE2C98">
        <w:rPr>
          <w:rFonts w:ascii="Calibri" w:hAnsi="Calibri" w:cs="Calibri"/>
        </w:rPr>
        <w:t>, Sept 10</w:t>
      </w:r>
      <w:r w:rsidRPr="00CE2C98">
        <w:rPr>
          <w:rFonts w:ascii="Calibri" w:hAnsi="Calibri" w:cs="Calibri"/>
          <w:vertAlign w:val="superscript"/>
        </w:rPr>
        <w:t>th</w:t>
      </w:r>
      <w:r w:rsidRPr="00CE2C98">
        <w:rPr>
          <w:rFonts w:ascii="Calibri" w:hAnsi="Calibri" w:cs="Calibri"/>
        </w:rPr>
        <w:t xml:space="preserve"> and November 12</w:t>
      </w:r>
      <w:r w:rsidRPr="00CE2C98">
        <w:rPr>
          <w:rFonts w:ascii="Calibri" w:hAnsi="Calibri" w:cs="Calibri"/>
          <w:vertAlign w:val="superscript"/>
        </w:rPr>
        <w:t>th</w:t>
      </w:r>
      <w:r w:rsidRPr="00CE2C98">
        <w:rPr>
          <w:rFonts w:ascii="Calibri" w:hAnsi="Calibri" w:cs="Calibri"/>
        </w:rPr>
        <w:t>. Hatton and Holiday Inn book.</w:t>
      </w:r>
    </w:p>
    <w:p w14:paraId="0C3115C4" w14:textId="77777777" w:rsidR="00D85BA1" w:rsidRPr="00CE2C98" w:rsidRDefault="003625DA">
      <w:pPr>
        <w:pStyle w:val="Heading1"/>
        <w:rPr>
          <w:rFonts w:ascii="Calibri" w:hAnsi="Calibri" w:cs="Calibri"/>
          <w:color w:val="auto"/>
        </w:rPr>
      </w:pPr>
      <w:r w:rsidRPr="00CE2C98">
        <w:rPr>
          <w:rFonts w:ascii="Calibri" w:hAnsi="Calibri" w:cs="Calibri"/>
          <w:color w:val="auto"/>
        </w:rPr>
        <w:t>Action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3116"/>
        <w:gridCol w:w="3117"/>
      </w:tblGrid>
      <w:tr w:rsidR="00CE2C98" w:rsidRPr="00CE2C98" w14:paraId="2B2CEE0E" w14:textId="77777777">
        <w:tc>
          <w:tcPr>
            <w:tcW w:w="3120" w:type="dxa"/>
          </w:tcPr>
          <w:p w14:paraId="521CC570" w14:textId="77777777" w:rsidR="00D85BA1" w:rsidRPr="00CE2C98" w:rsidRDefault="003625DA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  <w:b/>
              </w:rPr>
              <w:t>Action</w:t>
            </w:r>
          </w:p>
        </w:tc>
        <w:tc>
          <w:tcPr>
            <w:tcW w:w="3120" w:type="dxa"/>
          </w:tcPr>
          <w:p w14:paraId="34CF2D3C" w14:textId="77777777" w:rsidR="00D85BA1" w:rsidRPr="00CE2C98" w:rsidRDefault="003625DA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  <w:b/>
              </w:rPr>
              <w:t>Owner</w:t>
            </w:r>
          </w:p>
        </w:tc>
        <w:tc>
          <w:tcPr>
            <w:tcW w:w="3120" w:type="dxa"/>
          </w:tcPr>
          <w:p w14:paraId="0B071E95" w14:textId="77777777" w:rsidR="00D85BA1" w:rsidRPr="00CE2C98" w:rsidRDefault="003625DA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  <w:b/>
              </w:rPr>
              <w:t>Deadline</w:t>
            </w:r>
          </w:p>
        </w:tc>
      </w:tr>
      <w:tr w:rsidR="00CE2C98" w:rsidRPr="00CE2C98" w14:paraId="24439354" w14:textId="77777777">
        <w:tc>
          <w:tcPr>
            <w:tcW w:w="3120" w:type="dxa"/>
          </w:tcPr>
          <w:p w14:paraId="75B56434" w14:textId="74432CA3" w:rsidR="00D85BA1" w:rsidRPr="00CE2C98" w:rsidRDefault="003625DA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Explore</w:t>
            </w:r>
            <w:r w:rsidR="00A3676C" w:rsidRPr="00CE2C98">
              <w:rPr>
                <w:rFonts w:ascii="Calibri" w:hAnsi="Calibri" w:cs="Calibri"/>
              </w:rPr>
              <w:t xml:space="preserve"> </w:t>
            </w:r>
            <w:proofErr w:type="spellStart"/>
            <w:r w:rsidR="00A3676C" w:rsidRPr="00CE2C98">
              <w:rPr>
                <w:rFonts w:ascii="Calibri" w:hAnsi="Calibri" w:cs="Calibri"/>
              </w:rPr>
              <w:t>Ce</w:t>
            </w:r>
            <w:r w:rsidR="00A3676C">
              <w:rPr>
                <w:rFonts w:ascii="Calibri" w:hAnsi="Calibri" w:cs="Calibri"/>
              </w:rPr>
              <w:t>ge</w:t>
            </w:r>
            <w:r w:rsidR="00A3676C" w:rsidRPr="00CE2C98">
              <w:rPr>
                <w:rFonts w:ascii="Calibri" w:hAnsi="Calibri" w:cs="Calibri"/>
              </w:rPr>
              <w:t>d</w:t>
            </w:r>
            <w:r w:rsidR="00A3676C">
              <w:rPr>
                <w:rFonts w:ascii="Calibri" w:hAnsi="Calibri" w:cs="Calibri"/>
              </w:rPr>
              <w:t>i</w:t>
            </w:r>
            <w:r w:rsidR="00A3676C" w:rsidRPr="00CE2C98">
              <w:rPr>
                <w:rFonts w:ascii="Calibri" w:hAnsi="Calibri" w:cs="Calibri"/>
              </w:rPr>
              <w:t>m</w:t>
            </w:r>
            <w:proofErr w:type="spellEnd"/>
            <w:r w:rsidR="00A3676C">
              <w:rPr>
                <w:rFonts w:ascii="Calibri" w:hAnsi="Calibri" w:cs="Calibri"/>
              </w:rPr>
              <w:t xml:space="preserve"> </w:t>
            </w:r>
            <w:r w:rsidRPr="00CE2C98">
              <w:rPr>
                <w:rFonts w:ascii="Calibri" w:hAnsi="Calibri" w:cs="Calibri"/>
              </w:rPr>
              <w:t>dashboard for LPC data</w:t>
            </w:r>
          </w:p>
        </w:tc>
        <w:tc>
          <w:tcPr>
            <w:tcW w:w="3120" w:type="dxa"/>
          </w:tcPr>
          <w:p w14:paraId="4AD205EB" w14:textId="386AE18E" w:rsidR="00D85BA1" w:rsidRPr="00CE2C98" w:rsidRDefault="008C09F0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SB</w:t>
            </w:r>
          </w:p>
        </w:tc>
        <w:tc>
          <w:tcPr>
            <w:tcW w:w="3120" w:type="dxa"/>
          </w:tcPr>
          <w:p w14:paraId="7639D8EB" w14:textId="77777777" w:rsidR="00D85BA1" w:rsidRPr="00CE2C98" w:rsidRDefault="003625DA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25 Nov</w:t>
            </w:r>
          </w:p>
        </w:tc>
      </w:tr>
      <w:tr w:rsidR="00CE2C98" w:rsidRPr="00CE2C98" w14:paraId="3ED64101" w14:textId="77777777">
        <w:tc>
          <w:tcPr>
            <w:tcW w:w="3120" w:type="dxa"/>
          </w:tcPr>
          <w:p w14:paraId="4F77BCFB" w14:textId="77777777" w:rsidR="00D85BA1" w:rsidRPr="00CE2C98" w:rsidRDefault="003625DA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Escalate COVID vaccine payment issue to CPE</w:t>
            </w:r>
          </w:p>
        </w:tc>
        <w:tc>
          <w:tcPr>
            <w:tcW w:w="3120" w:type="dxa"/>
          </w:tcPr>
          <w:p w14:paraId="3F99BD41" w14:textId="52F15B8B" w:rsidR="00D85BA1" w:rsidRPr="00CE2C98" w:rsidRDefault="003625DA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S</w:t>
            </w:r>
            <w:r w:rsidR="008C09F0" w:rsidRPr="00CE2C98">
              <w:rPr>
                <w:rFonts w:ascii="Calibri" w:hAnsi="Calibri" w:cs="Calibri"/>
              </w:rPr>
              <w:t>R</w:t>
            </w:r>
          </w:p>
        </w:tc>
        <w:tc>
          <w:tcPr>
            <w:tcW w:w="3120" w:type="dxa"/>
          </w:tcPr>
          <w:p w14:paraId="07FE38D0" w14:textId="77777777" w:rsidR="00D85BA1" w:rsidRPr="00CE2C98" w:rsidRDefault="003625DA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ASAP</w:t>
            </w:r>
          </w:p>
        </w:tc>
      </w:tr>
      <w:tr w:rsidR="00CE2C98" w:rsidRPr="00CE2C98" w14:paraId="652C27F0" w14:textId="77777777">
        <w:tc>
          <w:tcPr>
            <w:tcW w:w="3120" w:type="dxa"/>
          </w:tcPr>
          <w:p w14:paraId="3C889B1B" w14:textId="77777777" w:rsidR="00D85BA1" w:rsidRPr="00CE2C98" w:rsidRDefault="003625DA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Draft local media campaign plan</w:t>
            </w:r>
          </w:p>
        </w:tc>
        <w:tc>
          <w:tcPr>
            <w:tcW w:w="3120" w:type="dxa"/>
          </w:tcPr>
          <w:p w14:paraId="5FB3292F" w14:textId="341BB597" w:rsidR="00D85BA1" w:rsidRPr="00CE2C98" w:rsidRDefault="003625DA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A</w:t>
            </w:r>
            <w:r w:rsidR="008C09F0" w:rsidRPr="00CE2C98">
              <w:rPr>
                <w:rFonts w:ascii="Calibri" w:hAnsi="Calibri" w:cs="Calibri"/>
              </w:rPr>
              <w:t>L/RM</w:t>
            </w:r>
          </w:p>
        </w:tc>
        <w:tc>
          <w:tcPr>
            <w:tcW w:w="3120" w:type="dxa"/>
          </w:tcPr>
          <w:p w14:paraId="773FC9C3" w14:textId="77777777" w:rsidR="00D85BA1" w:rsidRPr="00CE2C98" w:rsidRDefault="003625DA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Jan meeting</w:t>
            </w:r>
          </w:p>
        </w:tc>
      </w:tr>
      <w:tr w:rsidR="00CE2C98" w:rsidRPr="00CE2C98" w14:paraId="31F134D3" w14:textId="77777777">
        <w:tc>
          <w:tcPr>
            <w:tcW w:w="3120" w:type="dxa"/>
          </w:tcPr>
          <w:p w14:paraId="6A0503D1" w14:textId="77777777" w:rsidR="00D85BA1" w:rsidRPr="00CE2C98" w:rsidRDefault="003625DA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Discuss VCSE partnerships with Matt</w:t>
            </w:r>
          </w:p>
        </w:tc>
        <w:tc>
          <w:tcPr>
            <w:tcW w:w="3120" w:type="dxa"/>
          </w:tcPr>
          <w:p w14:paraId="5D705CC3" w14:textId="5DF6EE1C" w:rsidR="00D85BA1" w:rsidRPr="00CE2C98" w:rsidRDefault="008C09F0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RM</w:t>
            </w:r>
          </w:p>
        </w:tc>
        <w:tc>
          <w:tcPr>
            <w:tcW w:w="3120" w:type="dxa"/>
          </w:tcPr>
          <w:p w14:paraId="3AA39E00" w14:textId="77777777" w:rsidR="00D85BA1" w:rsidRPr="00CE2C98" w:rsidRDefault="003625DA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Next meeting</w:t>
            </w:r>
          </w:p>
        </w:tc>
      </w:tr>
      <w:tr w:rsidR="00CE2C98" w:rsidRPr="00CE2C98" w14:paraId="36FD42FC" w14:textId="77777777">
        <w:tc>
          <w:tcPr>
            <w:tcW w:w="3120" w:type="dxa"/>
          </w:tcPr>
          <w:p w14:paraId="0D845FCB" w14:textId="77777777" w:rsidR="00D85BA1" w:rsidRPr="00CE2C98" w:rsidRDefault="003625DA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lastRenderedPageBreak/>
              <w:t>Escalate IP funding and governance concerns</w:t>
            </w:r>
          </w:p>
        </w:tc>
        <w:tc>
          <w:tcPr>
            <w:tcW w:w="3120" w:type="dxa"/>
          </w:tcPr>
          <w:p w14:paraId="2A5B99C2" w14:textId="139D0E45" w:rsidR="00D85BA1" w:rsidRPr="00CE2C98" w:rsidRDefault="003625DA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S</w:t>
            </w:r>
            <w:r w:rsidR="008C09F0" w:rsidRPr="00CE2C98">
              <w:rPr>
                <w:rFonts w:ascii="Calibri" w:hAnsi="Calibri" w:cs="Calibri"/>
              </w:rPr>
              <w:t>R</w:t>
            </w:r>
          </w:p>
        </w:tc>
        <w:tc>
          <w:tcPr>
            <w:tcW w:w="3120" w:type="dxa"/>
          </w:tcPr>
          <w:p w14:paraId="172664FF" w14:textId="77777777" w:rsidR="00D85BA1" w:rsidRPr="00CE2C98" w:rsidRDefault="003625DA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ASAP</w:t>
            </w:r>
          </w:p>
        </w:tc>
      </w:tr>
      <w:tr w:rsidR="00CE2C98" w:rsidRPr="00CE2C98" w14:paraId="22085E5C" w14:textId="77777777">
        <w:tc>
          <w:tcPr>
            <w:tcW w:w="3120" w:type="dxa"/>
          </w:tcPr>
          <w:p w14:paraId="2CFF87CD" w14:textId="77777777" w:rsidR="00D85BA1" w:rsidRPr="00CE2C98" w:rsidRDefault="003625DA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Push ICB for clarity on Jhoots closures</w:t>
            </w:r>
          </w:p>
        </w:tc>
        <w:tc>
          <w:tcPr>
            <w:tcW w:w="3120" w:type="dxa"/>
          </w:tcPr>
          <w:p w14:paraId="62099D89" w14:textId="77777777" w:rsidR="00D85BA1" w:rsidRPr="00CE2C98" w:rsidRDefault="003625DA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LPC</w:t>
            </w:r>
          </w:p>
        </w:tc>
        <w:tc>
          <w:tcPr>
            <w:tcW w:w="3120" w:type="dxa"/>
          </w:tcPr>
          <w:p w14:paraId="25ED7759" w14:textId="77777777" w:rsidR="00D85BA1" w:rsidRPr="00CE2C98" w:rsidRDefault="003625DA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Ongoing</w:t>
            </w:r>
          </w:p>
        </w:tc>
      </w:tr>
      <w:tr w:rsidR="00CE2C98" w:rsidRPr="00CE2C98" w14:paraId="4508974B" w14:textId="77777777">
        <w:tc>
          <w:tcPr>
            <w:tcW w:w="3120" w:type="dxa"/>
          </w:tcPr>
          <w:p w14:paraId="3988DECC" w14:textId="45D9FD12" w:rsidR="00521F8E" w:rsidRPr="00CE2C98" w:rsidRDefault="00521F8E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Audit o</w:t>
            </w:r>
            <w:r w:rsidR="009C6599" w:rsidRPr="00CE2C98">
              <w:rPr>
                <w:rFonts w:ascii="Calibri" w:hAnsi="Calibri" w:cs="Calibri"/>
              </w:rPr>
              <w:t>f</w:t>
            </w:r>
            <w:r w:rsidRPr="00CE2C98">
              <w:rPr>
                <w:rFonts w:ascii="Calibri" w:hAnsi="Calibri" w:cs="Calibri"/>
              </w:rPr>
              <w:t xml:space="preserve"> Hospital Rx by Committee</w:t>
            </w:r>
          </w:p>
        </w:tc>
        <w:tc>
          <w:tcPr>
            <w:tcW w:w="3120" w:type="dxa"/>
          </w:tcPr>
          <w:p w14:paraId="52D814F2" w14:textId="49350FD4" w:rsidR="00521F8E" w:rsidRPr="00CE2C98" w:rsidRDefault="00521F8E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RM</w:t>
            </w:r>
          </w:p>
        </w:tc>
        <w:tc>
          <w:tcPr>
            <w:tcW w:w="3120" w:type="dxa"/>
          </w:tcPr>
          <w:p w14:paraId="46A863C7" w14:textId="10BD5E63" w:rsidR="00521F8E" w:rsidRPr="00CE2C98" w:rsidRDefault="00521F8E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Jan Meeting</w:t>
            </w:r>
          </w:p>
        </w:tc>
      </w:tr>
      <w:tr w:rsidR="00CE2C98" w:rsidRPr="00CE2C98" w14:paraId="5698EF4F" w14:textId="77777777">
        <w:tc>
          <w:tcPr>
            <w:tcW w:w="3120" w:type="dxa"/>
          </w:tcPr>
          <w:p w14:paraId="232F6236" w14:textId="7F63B8E0" w:rsidR="00521F8E" w:rsidRPr="00CE2C98" w:rsidRDefault="00521F8E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 xml:space="preserve">Request to GHT to </w:t>
            </w:r>
            <w:r w:rsidR="009C6599" w:rsidRPr="00CE2C98">
              <w:rPr>
                <w:rFonts w:ascii="Calibri" w:hAnsi="Calibri" w:cs="Calibri"/>
              </w:rPr>
              <w:t>provide 14 day supply on discharge</w:t>
            </w:r>
          </w:p>
        </w:tc>
        <w:tc>
          <w:tcPr>
            <w:tcW w:w="3120" w:type="dxa"/>
          </w:tcPr>
          <w:p w14:paraId="6BD76E62" w14:textId="4E779D6E" w:rsidR="00521F8E" w:rsidRPr="00CE2C98" w:rsidRDefault="009C6599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RM</w:t>
            </w:r>
          </w:p>
        </w:tc>
        <w:tc>
          <w:tcPr>
            <w:tcW w:w="3120" w:type="dxa"/>
          </w:tcPr>
          <w:p w14:paraId="42B28B5B" w14:textId="284E0876" w:rsidR="00521F8E" w:rsidRPr="00CE2C98" w:rsidRDefault="009C6599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Jan Meeting</w:t>
            </w:r>
          </w:p>
        </w:tc>
      </w:tr>
      <w:tr w:rsidR="00CE2C98" w:rsidRPr="00CE2C98" w14:paraId="5908093D" w14:textId="77777777">
        <w:tc>
          <w:tcPr>
            <w:tcW w:w="3120" w:type="dxa"/>
          </w:tcPr>
          <w:p w14:paraId="4A7D013C" w14:textId="28507A7B" w:rsidR="009C6599" w:rsidRPr="00CE2C98" w:rsidRDefault="009C6599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 xml:space="preserve">Book Venue’s for 2026 amended meeting dates </w:t>
            </w:r>
          </w:p>
        </w:tc>
        <w:tc>
          <w:tcPr>
            <w:tcW w:w="3120" w:type="dxa"/>
          </w:tcPr>
          <w:p w14:paraId="38A5499E" w14:textId="2F565089" w:rsidR="009C6599" w:rsidRPr="00CE2C98" w:rsidRDefault="009C6599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SB</w:t>
            </w:r>
          </w:p>
        </w:tc>
        <w:tc>
          <w:tcPr>
            <w:tcW w:w="3120" w:type="dxa"/>
          </w:tcPr>
          <w:p w14:paraId="3805FEAD" w14:textId="1F787582" w:rsidR="009C6599" w:rsidRPr="00CE2C98" w:rsidRDefault="009C6599">
            <w:pPr>
              <w:jc w:val="center"/>
              <w:rPr>
                <w:rFonts w:ascii="Calibri" w:hAnsi="Calibri" w:cs="Calibri"/>
              </w:rPr>
            </w:pPr>
            <w:r w:rsidRPr="00CE2C98">
              <w:rPr>
                <w:rFonts w:ascii="Calibri" w:hAnsi="Calibri" w:cs="Calibri"/>
              </w:rPr>
              <w:t>Jan Meeting</w:t>
            </w:r>
          </w:p>
        </w:tc>
      </w:tr>
    </w:tbl>
    <w:p w14:paraId="3618BEC6" w14:textId="77777777" w:rsidR="003625DA" w:rsidRPr="00CE2C98" w:rsidRDefault="003625DA">
      <w:pPr>
        <w:rPr>
          <w:rFonts w:ascii="Calibri" w:hAnsi="Calibri" w:cs="Calibri"/>
        </w:rPr>
      </w:pPr>
    </w:p>
    <w:sectPr w:rsidR="003625DA" w:rsidRPr="00CE2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178E3"/>
    <w:multiLevelType w:val="hybridMultilevel"/>
    <w:tmpl w:val="E0E8B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0D2C7FA2"/>
    <w:multiLevelType w:val="hybridMultilevel"/>
    <w:tmpl w:val="9B8A6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6441A"/>
    <w:multiLevelType w:val="hybridMultilevel"/>
    <w:tmpl w:val="D068B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B7751"/>
    <w:multiLevelType w:val="hybridMultilevel"/>
    <w:tmpl w:val="71C4C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D781A"/>
    <w:multiLevelType w:val="hybridMultilevel"/>
    <w:tmpl w:val="BF5A6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7422D"/>
    <w:multiLevelType w:val="hybridMultilevel"/>
    <w:tmpl w:val="1026E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6338320F"/>
    <w:multiLevelType w:val="hybridMultilevel"/>
    <w:tmpl w:val="5576E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264EA"/>
    <w:multiLevelType w:val="hybridMultilevel"/>
    <w:tmpl w:val="6C2415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8668ED"/>
    <w:multiLevelType w:val="hybridMultilevel"/>
    <w:tmpl w:val="420E6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7D113AD3"/>
    <w:multiLevelType w:val="hybridMultilevel"/>
    <w:tmpl w:val="EE641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1"/>
  </w:num>
  <w:num w:numId="12" w16cid:durableId="1273904881">
    <w:abstractNumId w:val="23"/>
  </w:num>
  <w:num w:numId="13" w16cid:durableId="2110588750">
    <w:abstractNumId w:val="22"/>
  </w:num>
  <w:num w:numId="14" w16cid:durableId="1730575300">
    <w:abstractNumId w:val="18"/>
  </w:num>
  <w:num w:numId="15" w16cid:durableId="2063938215">
    <w:abstractNumId w:val="25"/>
  </w:num>
  <w:num w:numId="16" w16cid:durableId="1416627709">
    <w:abstractNumId w:val="15"/>
  </w:num>
  <w:num w:numId="17" w16cid:durableId="386493968">
    <w:abstractNumId w:val="14"/>
  </w:num>
  <w:num w:numId="18" w16cid:durableId="821308824">
    <w:abstractNumId w:val="20"/>
  </w:num>
  <w:num w:numId="19" w16cid:durableId="846944937">
    <w:abstractNumId w:val="16"/>
  </w:num>
  <w:num w:numId="20" w16cid:durableId="621349894">
    <w:abstractNumId w:val="10"/>
  </w:num>
  <w:num w:numId="21" w16cid:durableId="337587315">
    <w:abstractNumId w:val="24"/>
  </w:num>
  <w:num w:numId="22" w16cid:durableId="470288496">
    <w:abstractNumId w:val="17"/>
  </w:num>
  <w:num w:numId="23" w16cid:durableId="939141562">
    <w:abstractNumId w:val="12"/>
  </w:num>
  <w:num w:numId="24" w16cid:durableId="797650840">
    <w:abstractNumId w:val="13"/>
  </w:num>
  <w:num w:numId="25" w16cid:durableId="821388987">
    <w:abstractNumId w:val="21"/>
  </w:num>
  <w:num w:numId="26" w16cid:durableId="7724389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10421"/>
    <w:rsid w:val="000504F7"/>
    <w:rsid w:val="001F40EA"/>
    <w:rsid w:val="00202B30"/>
    <w:rsid w:val="002E51AB"/>
    <w:rsid w:val="00324B44"/>
    <w:rsid w:val="0035627B"/>
    <w:rsid w:val="003625DA"/>
    <w:rsid w:val="0036562D"/>
    <w:rsid w:val="003A0D5A"/>
    <w:rsid w:val="00452493"/>
    <w:rsid w:val="004976E0"/>
    <w:rsid w:val="004D1FA6"/>
    <w:rsid w:val="00521F8E"/>
    <w:rsid w:val="005A534A"/>
    <w:rsid w:val="00664ADB"/>
    <w:rsid w:val="007D31F9"/>
    <w:rsid w:val="00827C87"/>
    <w:rsid w:val="008936BA"/>
    <w:rsid w:val="008C09F0"/>
    <w:rsid w:val="009C6599"/>
    <w:rsid w:val="00A20880"/>
    <w:rsid w:val="00A352C8"/>
    <w:rsid w:val="00A3676C"/>
    <w:rsid w:val="00B41C2B"/>
    <w:rsid w:val="00C26D93"/>
    <w:rsid w:val="00C27141"/>
    <w:rsid w:val="00CE2C98"/>
    <w:rsid w:val="00D32292"/>
    <w:rsid w:val="00D75435"/>
    <w:rsid w:val="00D85BA1"/>
    <w:rsid w:val="00DA6C12"/>
    <w:rsid w:val="00DB5B5B"/>
    <w:rsid w:val="00DE5146"/>
    <w:rsid w:val="00DF2FBF"/>
    <w:rsid w:val="00EA11C9"/>
    <w:rsid w:val="00F10320"/>
    <w:rsid w:val="00F903B9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AB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Bradshaw</dc:creator>
  <cp:keywords/>
  <dc:description/>
  <cp:lastModifiedBy>Sam Bradshaw</cp:lastModifiedBy>
  <cp:revision>15</cp:revision>
  <dcterms:created xsi:type="dcterms:W3CDTF">2025-11-19T14:36:00Z</dcterms:created>
  <dcterms:modified xsi:type="dcterms:W3CDTF">2025-11-19T14:53:00Z</dcterms:modified>
</cp:coreProperties>
</file>