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AD3" w:rsidRPr="00C65AD3" w:rsidRDefault="00C65AD3" w:rsidP="00C65AD3">
      <w:pPr>
        <w:jc w:val="center"/>
        <w:rPr>
          <w:b/>
          <w:bCs/>
          <w:u w:val="single"/>
        </w:rPr>
      </w:pPr>
      <w:r w:rsidRPr="00C65AD3">
        <w:rPr>
          <w:b/>
          <w:bCs/>
          <w:u w:val="single"/>
        </w:rPr>
        <w:t>GP Connect Implementation Checklist for Community Pharmacies</w:t>
      </w:r>
    </w:p>
    <w:p w:rsidR="00C65AD3" w:rsidRPr="00C65AD3" w:rsidRDefault="00C65AD3" w:rsidP="00C65AD3">
      <w:r w:rsidRPr="00C65AD3">
        <w:t>Key Resources:</w:t>
      </w:r>
    </w:p>
    <w:p w:rsidR="00C65AD3" w:rsidRPr="00C65AD3" w:rsidRDefault="00C65AD3" w:rsidP="00C65AD3">
      <w:pPr>
        <w:numPr>
          <w:ilvl w:val="0"/>
          <w:numId w:val="39"/>
        </w:numPr>
      </w:pPr>
      <w:r w:rsidRPr="00C65AD3">
        <w:rPr>
          <w:rFonts w:ascii="Segoe UI Emoji" w:hAnsi="Segoe UI Emoji" w:cs="Segoe UI Emoji"/>
        </w:rPr>
        <w:t>🔗</w:t>
      </w:r>
      <w:r w:rsidRPr="00C65AD3">
        <w:t xml:space="preserve"> </w:t>
      </w:r>
      <w:hyperlink r:id="rId7" w:tgtFrame="_new" w:history="1">
        <w:r w:rsidRPr="00C65AD3">
          <w:rPr>
            <w:rStyle w:val="Hyperlink"/>
            <w:u w:val="none"/>
          </w:rPr>
          <w:t>CPE – GP Connect Guidance</w:t>
        </w:r>
      </w:hyperlink>
    </w:p>
    <w:p w:rsidR="00C65AD3" w:rsidRPr="00C65AD3" w:rsidRDefault="00C65AD3" w:rsidP="00C65AD3">
      <w:pPr>
        <w:numPr>
          <w:ilvl w:val="0"/>
          <w:numId w:val="39"/>
        </w:numPr>
      </w:pPr>
      <w:r w:rsidRPr="00C65AD3">
        <w:rPr>
          <w:rFonts w:ascii="Segoe UI Emoji" w:hAnsi="Segoe UI Emoji" w:cs="Segoe UI Emoji"/>
        </w:rPr>
        <w:t>🔗</w:t>
      </w:r>
      <w:r w:rsidRPr="00C65AD3">
        <w:t xml:space="preserve"> </w:t>
      </w:r>
      <w:hyperlink r:id="rId8" w:tgtFrame="_new" w:history="1">
        <w:r w:rsidRPr="00C65AD3">
          <w:rPr>
            <w:rStyle w:val="Hyperlink"/>
            <w:u w:val="none"/>
          </w:rPr>
          <w:t>NHS England – GP Connect Service Overview</w:t>
        </w:r>
      </w:hyperlink>
    </w:p>
    <w:p w:rsidR="00C65AD3" w:rsidRPr="00C65AD3" w:rsidRDefault="00C65AD3" w:rsidP="00C65AD3">
      <w:pPr>
        <w:numPr>
          <w:ilvl w:val="0"/>
          <w:numId w:val="39"/>
        </w:numPr>
      </w:pPr>
      <w:r w:rsidRPr="00C65AD3">
        <w:rPr>
          <w:rFonts w:ascii="Segoe UI Emoji" w:hAnsi="Segoe UI Emoji" w:cs="Segoe UI Emoji"/>
        </w:rPr>
        <w:t>🔗</w:t>
      </w:r>
      <w:r w:rsidRPr="00C65AD3">
        <w:t xml:space="preserve"> </w:t>
      </w:r>
      <w:hyperlink r:id="rId9" w:history="1">
        <w:r w:rsidRPr="00C65AD3">
          <w:rPr>
            <w:rStyle w:val="Hyperlink"/>
          </w:rPr>
          <w:t xml:space="preserve">DPIA Template for GP Connect – </w:t>
        </w:r>
        <w:r w:rsidR="00661DD1">
          <w:rPr>
            <w:rStyle w:val="Hyperlink"/>
          </w:rPr>
          <w:t>CPE</w:t>
        </w:r>
      </w:hyperlink>
    </w:p>
    <w:p w:rsidR="00C65AD3" w:rsidRPr="00C65AD3" w:rsidRDefault="00C65AD3" w:rsidP="00C65AD3">
      <w:pPr>
        <w:numPr>
          <w:ilvl w:val="0"/>
          <w:numId w:val="39"/>
        </w:numPr>
      </w:pPr>
      <w:r w:rsidRPr="00C65AD3">
        <w:rPr>
          <w:rFonts w:ascii="Segoe UI Emoji" w:hAnsi="Segoe UI Emoji" w:cs="Segoe UI Emoji"/>
        </w:rPr>
        <w:t>🔗</w:t>
      </w:r>
      <w:r w:rsidRPr="00C65AD3">
        <w:t xml:space="preserve"> </w:t>
      </w:r>
      <w:hyperlink r:id="rId10" w:history="1">
        <w:r w:rsidRPr="00C65AD3">
          <w:rPr>
            <w:rStyle w:val="Hyperlink"/>
          </w:rPr>
          <w:t>Data Processing Leaflet for Patients – CPE</w:t>
        </w:r>
      </w:hyperlink>
    </w:p>
    <w:p w:rsidR="00C65AD3" w:rsidRPr="00C65AD3" w:rsidRDefault="00000000" w:rsidP="00C65AD3">
      <w:r>
        <w:pict>
          <v:rect id="_x0000_i1025" style="width:0;height:1.5pt" o:hralign="center" o:hrstd="t" o:hr="t" fillcolor="#a0a0a0" stroked="f"/>
        </w:pict>
      </w:r>
    </w:p>
    <w:p w:rsidR="00C65AD3" w:rsidRPr="00C65AD3" w:rsidRDefault="00C65AD3" w:rsidP="00C65AD3">
      <w:r w:rsidRPr="00C65AD3">
        <w:t>1.  Pre-Implementation Preparation</w:t>
      </w:r>
    </w:p>
    <w:p w:rsidR="00C65AD3" w:rsidRPr="00C65AD3" w:rsidRDefault="00C65AD3" w:rsidP="00C65AD3">
      <w:r w:rsidRPr="00C65AD3">
        <w:t>☐ Understand GP Connect Services</w:t>
      </w:r>
    </w:p>
    <w:p w:rsidR="00C65AD3" w:rsidRPr="00C65AD3" w:rsidRDefault="00C65AD3" w:rsidP="0046000D">
      <w:r w:rsidRPr="00C65AD3">
        <w:t>Review the scope and functionality</w:t>
      </w:r>
      <w:r w:rsidR="0046000D">
        <w:t xml:space="preserve"> by reviewing the information on CPE </w:t>
      </w:r>
      <w:hyperlink r:id="rId11" w:history="1">
        <w:r w:rsidRPr="00C65AD3">
          <w:rPr>
            <w:rStyle w:val="Hyperlink"/>
            <w:rFonts w:ascii="Segoe UI Emoji" w:hAnsi="Segoe UI Emoji" w:cs="Segoe UI Emoji"/>
          </w:rPr>
          <w:t>🔗</w:t>
        </w:r>
        <w:r w:rsidRPr="00C65AD3">
          <w:rPr>
            <w:rStyle w:val="Hyperlink"/>
          </w:rPr>
          <w:t xml:space="preserve"> GP Connect: Access Record</w:t>
        </w:r>
        <w:r w:rsidR="0046000D" w:rsidRPr="0046000D">
          <w:rPr>
            <w:rStyle w:val="Hyperlink"/>
          </w:rPr>
          <w:t xml:space="preserve"> and Update record</w:t>
        </w:r>
      </w:hyperlink>
      <w:r w:rsidR="0046000D">
        <w:t xml:space="preserve">. </w:t>
      </w:r>
      <w:r w:rsidRPr="00C65AD3">
        <w:t>Future developments may include appointment management or structured data access.</w:t>
      </w:r>
    </w:p>
    <w:p w:rsidR="00C65AD3" w:rsidRPr="00C65AD3" w:rsidRDefault="00C65AD3" w:rsidP="00C65AD3">
      <w:r w:rsidRPr="00C65AD3">
        <w:t>☐ Confirm Organisational Readiness</w:t>
      </w:r>
    </w:p>
    <w:p w:rsidR="002B5668" w:rsidRDefault="00C65AD3" w:rsidP="00C65AD3">
      <w:r w:rsidRPr="00C65AD3">
        <w:t xml:space="preserve">Review your pharmacy’s </w:t>
      </w:r>
      <w:r w:rsidR="0046000D">
        <w:t>readiness and</w:t>
      </w:r>
      <w:r w:rsidRPr="00C65AD3">
        <w:t xml:space="preserve"> capacity to implement.</w:t>
      </w:r>
      <w:r w:rsidR="0046000D">
        <w:t xml:space="preserve"> Identify which services it will be used in and if necessary appoint someone from within the pharmacy or your organisation to lead the implementation.</w:t>
      </w:r>
    </w:p>
    <w:p w:rsidR="002B5668" w:rsidRDefault="002B5668" w:rsidP="002B5668">
      <w:r w:rsidRPr="00C65AD3">
        <w:t xml:space="preserve">☐ </w:t>
      </w:r>
      <w:r>
        <w:t>Link with local practices</w:t>
      </w:r>
    </w:p>
    <w:p w:rsidR="002B5668" w:rsidRPr="00C65AD3" w:rsidRDefault="002B5668" w:rsidP="002B5668">
      <w:r>
        <w:t>Contact local practices to inform them that you are ready to begin using GP Connect when the surgery switches it on. Consider</w:t>
      </w:r>
      <w:r w:rsidR="00F31CAD">
        <w:t xml:space="preserve"> personalising and</w:t>
      </w:r>
      <w:r>
        <w:t xml:space="preserve"> using template email/letter</w:t>
      </w:r>
      <w:r w:rsidR="00F31CAD">
        <w:t xml:space="preserve"> (provided by Community Pharmacy Gloucestershire)</w:t>
      </w:r>
    </w:p>
    <w:p w:rsidR="002B5668" w:rsidRDefault="002B5668" w:rsidP="00C65AD3"/>
    <w:p w:rsidR="00C65AD3" w:rsidRPr="00C65AD3" w:rsidRDefault="00000000" w:rsidP="00C65AD3">
      <w:r>
        <w:pict>
          <v:rect id="_x0000_i1026" style="width:0;height:1.5pt" o:hralign="center" o:hrstd="t" o:hr="t" fillcolor="#a0a0a0" stroked="f"/>
        </w:pict>
      </w:r>
    </w:p>
    <w:p w:rsidR="00C65AD3" w:rsidRPr="00C65AD3" w:rsidRDefault="00C65AD3" w:rsidP="00C65AD3">
      <w:r w:rsidRPr="00C65AD3">
        <w:t>2. Technical Readiness</w:t>
      </w:r>
    </w:p>
    <w:p w:rsidR="00C65AD3" w:rsidRPr="00C65AD3" w:rsidRDefault="00C65AD3" w:rsidP="00C65AD3">
      <w:r w:rsidRPr="00C65AD3">
        <w:t>☐ Check System Compatibility</w:t>
      </w:r>
    </w:p>
    <w:p w:rsidR="00C65AD3" w:rsidRPr="00C65AD3" w:rsidRDefault="00C65AD3" w:rsidP="0046000D">
      <w:r w:rsidRPr="00C65AD3">
        <w:t>Confirm with your IT supplier (e.g., Sonar, PharmOutcomes, Cegedim) that GP Connect functionality is supported and activated.</w:t>
      </w:r>
      <w:r w:rsidR="0046000D">
        <w:t xml:space="preserve"> You may need to update systems or browsers to support functionality.</w:t>
      </w:r>
    </w:p>
    <w:p w:rsidR="00C65AD3" w:rsidRPr="00C65AD3" w:rsidRDefault="00C65AD3" w:rsidP="00C65AD3">
      <w:r w:rsidRPr="00C65AD3">
        <w:t>☐ Confirm Smartcard Access</w:t>
      </w:r>
    </w:p>
    <w:p w:rsidR="00C65AD3" w:rsidRPr="00C65AD3" w:rsidRDefault="00C65AD3" w:rsidP="0046000D">
      <w:r w:rsidRPr="00C65AD3">
        <w:t>Ensure staff Smartcards are working and have the corre</w:t>
      </w:r>
      <w:r w:rsidR="0046000D">
        <w:t xml:space="preserve">ct role-based access </w:t>
      </w:r>
      <w:r w:rsidRPr="00C65AD3">
        <w:t>codes (e.g., "Community Pharmacist").</w:t>
      </w:r>
      <w:r w:rsidR="0046000D">
        <w:t xml:space="preserve"> Test smart cards and update, unlock or replace where necessary.</w:t>
      </w:r>
    </w:p>
    <w:p w:rsidR="00C65AD3" w:rsidRPr="00C65AD3" w:rsidRDefault="00000000" w:rsidP="00C65AD3">
      <w:r>
        <w:pict>
          <v:rect id="_x0000_i1027" style="width:0;height:1.5pt" o:hralign="center" o:hrstd="t" o:hr="t" fillcolor="#a0a0a0" stroked="f"/>
        </w:pict>
      </w:r>
    </w:p>
    <w:p w:rsidR="00C65AD3" w:rsidRPr="00C65AD3" w:rsidRDefault="00C65AD3" w:rsidP="00C65AD3">
      <w:r w:rsidRPr="00C65AD3">
        <w:t>3.</w:t>
      </w:r>
      <w:r w:rsidR="0046000D">
        <w:t xml:space="preserve"> </w:t>
      </w:r>
      <w:r w:rsidRPr="00C65AD3">
        <w:t>Governance, Privacy &amp; Security</w:t>
      </w:r>
    </w:p>
    <w:p w:rsidR="00C65AD3" w:rsidRPr="00C65AD3" w:rsidRDefault="00C65AD3" w:rsidP="00C65AD3">
      <w:r w:rsidRPr="00C65AD3">
        <w:t>☐ Complete a D</w:t>
      </w:r>
      <w:r w:rsidR="0046000D">
        <w:t>ata Protection Impact Assessment</w:t>
      </w:r>
      <w:r w:rsidR="00447EA5">
        <w:t xml:space="preserve"> (DPIA)</w:t>
      </w:r>
    </w:p>
    <w:p w:rsidR="00C65AD3" w:rsidRPr="00C65AD3" w:rsidRDefault="00447EA5" w:rsidP="0046000D">
      <w:r>
        <w:lastRenderedPageBreak/>
        <w:t>If you already have a DPIA, please review it and make sure you add GP Connect. If you don’t have a current DPIA please d</w:t>
      </w:r>
      <w:r w:rsidRPr="00C65AD3">
        <w:t>ownload and complete the recommended DPIA</w:t>
      </w:r>
      <w:r>
        <w:t xml:space="preserve"> </w:t>
      </w:r>
      <w:hyperlink r:id="rId12" w:history="1">
        <w:r w:rsidRPr="00447EA5">
          <w:rPr>
            <w:rStyle w:val="Hyperlink"/>
          </w:rPr>
          <w:t xml:space="preserve">from CPE </w:t>
        </w:r>
        <w:r w:rsidRPr="00C65AD3">
          <w:rPr>
            <w:rStyle w:val="Hyperlink"/>
            <w:rFonts w:ascii="Segoe UI Emoji" w:hAnsi="Segoe UI Emoji" w:cs="Segoe UI Emoji"/>
          </w:rPr>
          <w:t>🔗</w:t>
        </w:r>
        <w:r w:rsidRPr="00C65AD3">
          <w:rPr>
            <w:rStyle w:val="Hyperlink"/>
          </w:rPr>
          <w:t xml:space="preserve"> GP Connect DPIA Template for Community Pharmacy (Word)</w:t>
        </w:r>
        <w:r w:rsidRPr="00447EA5">
          <w:rPr>
            <w:rStyle w:val="Hyperlink"/>
          </w:rPr>
          <w:t>.</w:t>
        </w:r>
      </w:hyperlink>
    </w:p>
    <w:p w:rsidR="00C65AD3" w:rsidRPr="00C65AD3" w:rsidRDefault="00C65AD3" w:rsidP="00C65AD3">
      <w:r w:rsidRPr="00C65AD3">
        <w:t>☐ Update Your Privacy Notice</w:t>
      </w:r>
    </w:p>
    <w:p w:rsidR="00C65AD3" w:rsidRDefault="00C65AD3" w:rsidP="00447EA5">
      <w:r w:rsidRPr="00C65AD3">
        <w:t>Refer to the CPE patient leaflet for language suggestions</w:t>
      </w:r>
      <w:hyperlink r:id="rId13" w:history="1">
        <w:r w:rsidRPr="00C65AD3">
          <w:rPr>
            <w:rStyle w:val="Hyperlink"/>
          </w:rPr>
          <w:t>:</w:t>
        </w:r>
        <w:r w:rsidR="00447EA5" w:rsidRPr="00447EA5">
          <w:rPr>
            <w:rStyle w:val="Hyperlink"/>
          </w:rPr>
          <w:t xml:space="preserve"> </w:t>
        </w:r>
        <w:r w:rsidRPr="00C65AD3">
          <w:rPr>
            <w:rStyle w:val="Hyperlink"/>
            <w:rFonts w:ascii="Segoe UI Emoji" w:hAnsi="Segoe UI Emoji" w:cs="Segoe UI Emoji"/>
          </w:rPr>
          <w:t>🔗</w:t>
        </w:r>
        <w:r w:rsidRPr="00C65AD3">
          <w:rPr>
            <w:rStyle w:val="Hyperlink"/>
          </w:rPr>
          <w:t xml:space="preserve"> Data Processing Leaflet for Patients (PDF)</w:t>
        </w:r>
      </w:hyperlink>
      <w:r w:rsidR="00420556">
        <w:t>. Your privacy notice should include the wording:</w:t>
      </w:r>
    </w:p>
    <w:p w:rsidR="00420556" w:rsidRDefault="00420556" w:rsidP="00447EA5">
      <w:r w:rsidRPr="00420556">
        <w:rPr>
          <w:i/>
          <w:iCs/>
        </w:rPr>
        <w:t>“Your care: providing pharmacy services and care to you and, as appropriate, receiving service and health records information if you have selected our pharmacy and sharing your information with your GP and others in the wider NHS”</w:t>
      </w:r>
    </w:p>
    <w:p w:rsidR="00F31CAD" w:rsidRPr="00C65AD3" w:rsidRDefault="00F31CAD" w:rsidP="00F31CAD">
      <w:r w:rsidRPr="00C65AD3">
        <w:t>☐ Review SOPs and Staff Materials</w:t>
      </w:r>
    </w:p>
    <w:p w:rsidR="00F31CAD" w:rsidRPr="00C65AD3" w:rsidRDefault="00F31CAD" w:rsidP="00F31CAD">
      <w:r w:rsidRPr="00C65AD3">
        <w:t>Update SOPs for services like:</w:t>
      </w:r>
    </w:p>
    <w:p w:rsidR="00F31CAD" w:rsidRPr="00C65AD3" w:rsidRDefault="00F31CAD" w:rsidP="00661DD1">
      <w:pPr>
        <w:pStyle w:val="ListParagraph"/>
        <w:numPr>
          <w:ilvl w:val="0"/>
          <w:numId w:val="70"/>
        </w:numPr>
        <w:ind w:left="709" w:hanging="283"/>
      </w:pPr>
      <w:r w:rsidRPr="00C65AD3">
        <w:t>Contraception Service</w:t>
      </w:r>
    </w:p>
    <w:p w:rsidR="00F31CAD" w:rsidRPr="00C65AD3" w:rsidRDefault="00F31CAD" w:rsidP="00661DD1">
      <w:pPr>
        <w:pStyle w:val="ListParagraph"/>
        <w:numPr>
          <w:ilvl w:val="0"/>
          <w:numId w:val="70"/>
        </w:numPr>
        <w:ind w:left="709" w:hanging="283"/>
      </w:pPr>
      <w:r w:rsidRPr="00C65AD3">
        <w:t>Hypertension Case-Finding Service</w:t>
      </w:r>
    </w:p>
    <w:p w:rsidR="00F31CAD" w:rsidRDefault="00F31CAD" w:rsidP="00661DD1">
      <w:pPr>
        <w:pStyle w:val="ListParagraph"/>
        <w:numPr>
          <w:ilvl w:val="0"/>
          <w:numId w:val="70"/>
        </w:numPr>
        <w:ind w:left="709" w:hanging="283"/>
      </w:pPr>
      <w:r w:rsidRPr="00C65AD3">
        <w:t>New Medicine Service (NMS)</w:t>
      </w:r>
    </w:p>
    <w:p w:rsidR="00F31CAD" w:rsidRDefault="00F31CAD" w:rsidP="00661DD1">
      <w:pPr>
        <w:pStyle w:val="ListParagraph"/>
        <w:numPr>
          <w:ilvl w:val="0"/>
          <w:numId w:val="70"/>
        </w:numPr>
        <w:ind w:left="709" w:hanging="283"/>
      </w:pPr>
      <w:r>
        <w:t>Discharge Medication Service</w:t>
      </w:r>
    </w:p>
    <w:p w:rsidR="00420556" w:rsidRDefault="00F31CAD" w:rsidP="00420556">
      <w:pPr>
        <w:pStyle w:val="ListParagraph"/>
        <w:numPr>
          <w:ilvl w:val="0"/>
          <w:numId w:val="70"/>
        </w:numPr>
        <w:ind w:left="709" w:hanging="283"/>
      </w:pPr>
      <w:r>
        <w:t>Pharmacy First</w:t>
      </w:r>
    </w:p>
    <w:p w:rsidR="00420556" w:rsidRDefault="00420556" w:rsidP="00420556">
      <w:r w:rsidRPr="00C65AD3">
        <w:t xml:space="preserve">☐ </w:t>
      </w:r>
      <w:r w:rsidR="003B4AC9">
        <w:t>DSP Toolkit completion</w:t>
      </w:r>
    </w:p>
    <w:p w:rsidR="00420556" w:rsidRPr="00C65AD3" w:rsidRDefault="00420556" w:rsidP="00420556">
      <w:r>
        <w:t>Make sure that the</w:t>
      </w:r>
      <w:r w:rsidRPr="00420556">
        <w:t> </w:t>
      </w:r>
      <w:hyperlink r:id="rId14" w:tgtFrame="_blank" w:history="1">
        <w:r w:rsidRPr="00420556">
          <w:rPr>
            <w:rStyle w:val="Hyperlink"/>
            <w:b/>
            <w:bCs/>
          </w:rPr>
          <w:t>Data Security and Protection Toolkit</w:t>
        </w:r>
      </w:hyperlink>
      <w:r w:rsidRPr="00420556">
        <w:t> is completed each year (this is already a regulatory requirement for all pharmacies) and pharmacy procedures align with data protection legislation.</w:t>
      </w:r>
    </w:p>
    <w:p w:rsidR="00F31CAD" w:rsidRPr="00C65AD3" w:rsidRDefault="00F31CAD" w:rsidP="00447EA5"/>
    <w:p w:rsidR="00C65AD3" w:rsidRPr="00C65AD3" w:rsidRDefault="00000000" w:rsidP="00C65AD3">
      <w:r>
        <w:pict>
          <v:rect id="_x0000_i1028" style="width:0;height:1.5pt" o:hralign="center" o:hrstd="t" o:hr="t" fillcolor="#a0a0a0" stroked="f"/>
        </w:pict>
      </w:r>
    </w:p>
    <w:p w:rsidR="00C65AD3" w:rsidRPr="00C65AD3" w:rsidRDefault="00C65AD3" w:rsidP="00C65AD3">
      <w:r w:rsidRPr="00C65AD3">
        <w:t>4.</w:t>
      </w:r>
      <w:r w:rsidR="00447EA5">
        <w:t xml:space="preserve"> </w:t>
      </w:r>
      <w:r w:rsidRPr="00C65AD3">
        <w:t>Staff Training and Awareness</w:t>
      </w:r>
    </w:p>
    <w:p w:rsidR="00C65AD3" w:rsidRPr="00C65AD3" w:rsidRDefault="00C65AD3" w:rsidP="00C65AD3">
      <w:r w:rsidRPr="00C65AD3">
        <w:t>☐ Train Staff on System Use</w:t>
      </w:r>
    </w:p>
    <w:p w:rsidR="00447EA5" w:rsidRDefault="00C65AD3" w:rsidP="00447EA5">
      <w:r w:rsidRPr="00C65AD3">
        <w:t>Ensure staff are familiar with how to</w:t>
      </w:r>
    </w:p>
    <w:p w:rsidR="00447EA5" w:rsidRDefault="00C65AD3" w:rsidP="00447EA5">
      <w:pPr>
        <w:pStyle w:val="ListParagraph"/>
        <w:numPr>
          <w:ilvl w:val="0"/>
          <w:numId w:val="66"/>
        </w:numPr>
      </w:pPr>
      <w:r w:rsidRPr="00C65AD3">
        <w:t>Log in using Smartcards.</w:t>
      </w:r>
    </w:p>
    <w:p w:rsidR="00447EA5" w:rsidRDefault="00C65AD3" w:rsidP="00447EA5">
      <w:pPr>
        <w:pStyle w:val="ListParagraph"/>
        <w:numPr>
          <w:ilvl w:val="0"/>
          <w:numId w:val="66"/>
        </w:numPr>
      </w:pPr>
      <w:r w:rsidRPr="00C65AD3">
        <w:t>Access GP records for clinical services.</w:t>
      </w:r>
    </w:p>
    <w:p w:rsidR="00C65AD3" w:rsidRDefault="00C65AD3" w:rsidP="00447EA5">
      <w:pPr>
        <w:pStyle w:val="ListParagraph"/>
        <w:numPr>
          <w:ilvl w:val="0"/>
          <w:numId w:val="66"/>
        </w:numPr>
      </w:pPr>
      <w:r w:rsidRPr="00C65AD3">
        <w:t>Use the system responsibly and securely.</w:t>
      </w:r>
    </w:p>
    <w:p w:rsidR="00661DD1" w:rsidRPr="00C65AD3" w:rsidRDefault="00661DD1" w:rsidP="00661DD1">
      <w:r w:rsidRPr="00C65AD3">
        <w:t xml:space="preserve">Ensure induction </w:t>
      </w:r>
      <w:r>
        <w:t xml:space="preserve">training, locum information </w:t>
      </w:r>
      <w:r w:rsidRPr="00C65AD3">
        <w:t>and refresher training include</w:t>
      </w:r>
      <w:r>
        <w:t>s</w:t>
      </w:r>
      <w:r w:rsidRPr="00C65AD3">
        <w:t xml:space="preserve"> GP Connect usage.</w:t>
      </w:r>
      <w:r w:rsidR="003B4AC9">
        <w:t xml:space="preserve"> Record training in staff training logs.</w:t>
      </w:r>
    </w:p>
    <w:p w:rsidR="00C65AD3" w:rsidRPr="00C65AD3" w:rsidRDefault="00C65AD3" w:rsidP="00C65AD3">
      <w:r w:rsidRPr="00C65AD3">
        <w:t>☐ Highlight Clinical Use Cases</w:t>
      </w:r>
    </w:p>
    <w:p w:rsidR="00447EA5" w:rsidRDefault="00C65AD3" w:rsidP="00447EA5">
      <w:r w:rsidRPr="00C65AD3">
        <w:t>Provide scenarios where GP Connect will benefit patient care</w:t>
      </w:r>
      <w:r w:rsidR="002B5668">
        <w:t xml:space="preserve"> e.g.</w:t>
      </w:r>
      <w:r w:rsidRPr="00C65AD3">
        <w:t>:</w:t>
      </w:r>
    </w:p>
    <w:p w:rsidR="00447EA5" w:rsidRDefault="00C65AD3" w:rsidP="00447EA5">
      <w:pPr>
        <w:pStyle w:val="ListParagraph"/>
        <w:numPr>
          <w:ilvl w:val="0"/>
          <w:numId w:val="67"/>
        </w:numPr>
      </w:pPr>
      <w:r w:rsidRPr="00C65AD3">
        <w:t>Viewing blood pressure history for hypertension case finding.</w:t>
      </w:r>
    </w:p>
    <w:p w:rsidR="00447EA5" w:rsidRDefault="00C65AD3" w:rsidP="00447EA5">
      <w:pPr>
        <w:pStyle w:val="ListParagraph"/>
        <w:numPr>
          <w:ilvl w:val="0"/>
          <w:numId w:val="67"/>
        </w:numPr>
      </w:pPr>
      <w:r w:rsidRPr="00C65AD3">
        <w:t>Reviewing current medication for contraception service.</w:t>
      </w:r>
    </w:p>
    <w:p w:rsidR="00C65AD3" w:rsidRDefault="00C65AD3" w:rsidP="00447EA5">
      <w:pPr>
        <w:pStyle w:val="ListParagraph"/>
        <w:numPr>
          <w:ilvl w:val="0"/>
          <w:numId w:val="67"/>
        </w:numPr>
      </w:pPr>
      <w:r w:rsidRPr="00C65AD3">
        <w:t xml:space="preserve">Supporting </w:t>
      </w:r>
      <w:r w:rsidR="002B5668">
        <w:t>advice</w:t>
      </w:r>
      <w:r w:rsidRPr="00C65AD3">
        <w:t xml:space="preserve"> in NMS or </w:t>
      </w:r>
      <w:r w:rsidR="002B5668">
        <w:t xml:space="preserve">DMS </w:t>
      </w:r>
      <w:r w:rsidRPr="00C65AD3">
        <w:t>referrals.</w:t>
      </w:r>
    </w:p>
    <w:p w:rsidR="00447EA5" w:rsidRDefault="00447EA5" w:rsidP="00447EA5">
      <w:pPr>
        <w:pStyle w:val="ListParagraph"/>
        <w:numPr>
          <w:ilvl w:val="0"/>
          <w:numId w:val="67"/>
        </w:numPr>
      </w:pPr>
      <w:r>
        <w:t xml:space="preserve">Accessing </w:t>
      </w:r>
      <w:r w:rsidR="002B5668">
        <w:t>historical treatment record in Pharmacy First</w:t>
      </w:r>
    </w:p>
    <w:p w:rsidR="00447EA5" w:rsidRPr="00C65AD3" w:rsidRDefault="00447EA5" w:rsidP="00447EA5">
      <w:r w:rsidRPr="00C65AD3">
        <w:lastRenderedPageBreak/>
        <w:t>☐ Train on Data Protection &amp; Access Rules</w:t>
      </w:r>
    </w:p>
    <w:p w:rsidR="002B5668" w:rsidRDefault="002B5668" w:rsidP="002B5668">
      <w:r w:rsidRPr="002B5668">
        <w:t>Ensure staff understand:</w:t>
      </w:r>
    </w:p>
    <w:p w:rsidR="002B5668" w:rsidRDefault="002B5668" w:rsidP="002B5668">
      <w:pPr>
        <w:pStyle w:val="ListParagraph"/>
        <w:numPr>
          <w:ilvl w:val="0"/>
          <w:numId w:val="69"/>
        </w:numPr>
      </w:pPr>
      <w:r w:rsidRPr="002B5668">
        <w:t>Lawful basis for access (direct care, no explicit consent required).</w:t>
      </w:r>
    </w:p>
    <w:p w:rsidR="002B5668" w:rsidRDefault="002B5668" w:rsidP="002B5668">
      <w:pPr>
        <w:pStyle w:val="ListParagraph"/>
        <w:numPr>
          <w:ilvl w:val="0"/>
          <w:numId w:val="69"/>
        </w:numPr>
      </w:pPr>
      <w:r w:rsidRPr="002B5668">
        <w:t>When it’s appropriate and proportionate to view a record.</w:t>
      </w:r>
    </w:p>
    <w:p w:rsidR="002B5668" w:rsidRPr="002B5668" w:rsidRDefault="002B5668" w:rsidP="002B5668">
      <w:pPr>
        <w:pStyle w:val="ListParagraph"/>
        <w:numPr>
          <w:ilvl w:val="0"/>
          <w:numId w:val="69"/>
        </w:numPr>
      </w:pPr>
      <w:r w:rsidRPr="002B5668">
        <w:t>Auditability and professional responsibilities (aligned with GPhC standards).</w:t>
      </w:r>
    </w:p>
    <w:p w:rsidR="00447EA5" w:rsidRPr="00C65AD3" w:rsidRDefault="00447EA5" w:rsidP="00447EA5"/>
    <w:p w:rsidR="00447EA5" w:rsidRPr="00C65AD3" w:rsidRDefault="00000000" w:rsidP="00C65AD3">
      <w:r>
        <w:pict>
          <v:rect id="_x0000_i1029" style="width:0;height:1.5pt" o:hralign="center" o:hrstd="t" o:hr="t" fillcolor="#a0a0a0" stroked="f"/>
        </w:pict>
      </w:r>
    </w:p>
    <w:p w:rsidR="00C65AD3" w:rsidRPr="00C65AD3" w:rsidRDefault="00C65AD3" w:rsidP="00C65AD3"/>
    <w:p w:rsidR="00C65AD3" w:rsidRPr="00C65AD3" w:rsidRDefault="00C65AD3" w:rsidP="00C65AD3">
      <w:r w:rsidRPr="00C65AD3">
        <w:t>5. Testing</w:t>
      </w:r>
      <w:r w:rsidR="00661DD1">
        <w:t xml:space="preserve">, </w:t>
      </w:r>
      <w:r w:rsidRPr="00C65AD3">
        <w:t>Launch</w:t>
      </w:r>
      <w:r w:rsidR="00661DD1">
        <w:t xml:space="preserve"> and Review</w:t>
      </w:r>
    </w:p>
    <w:p w:rsidR="00C65AD3" w:rsidRPr="00C65AD3" w:rsidRDefault="00C65AD3" w:rsidP="00C65AD3">
      <w:r w:rsidRPr="00C65AD3">
        <w:t>☐ Conduct Internal Testing</w:t>
      </w:r>
    </w:p>
    <w:p w:rsidR="00C65AD3" w:rsidRPr="00C65AD3" w:rsidRDefault="00C65AD3" w:rsidP="002B5668">
      <w:r w:rsidRPr="00C65AD3">
        <w:t>Test GP Connect access using real clinical scenarios (with appropriate justification).</w:t>
      </w:r>
      <w:r w:rsidR="002B5668">
        <w:t xml:space="preserve"> </w:t>
      </w:r>
      <w:r w:rsidRPr="00C65AD3">
        <w:t>Confirm records can be accessed and displayed correctly.</w:t>
      </w:r>
    </w:p>
    <w:p w:rsidR="00C65AD3" w:rsidRPr="00C65AD3" w:rsidRDefault="00C65AD3" w:rsidP="00C65AD3">
      <w:r w:rsidRPr="00C65AD3">
        <w:t>☐ Soft Launch</w:t>
      </w:r>
    </w:p>
    <w:p w:rsidR="00C65AD3" w:rsidRDefault="00C65AD3" w:rsidP="002B5668">
      <w:r w:rsidRPr="00C65AD3">
        <w:t>Begin using GP Connect with selected patients and services.</w:t>
      </w:r>
      <w:r w:rsidR="002B5668">
        <w:t xml:space="preserve"> </w:t>
      </w:r>
      <w:r w:rsidRPr="00C65AD3">
        <w:t>Record issues, collect feedback from staff, and liaise with your IT supplier as needed.</w:t>
      </w:r>
      <w:r w:rsidR="002B5668">
        <w:t xml:space="preserve"> Increase GP Connect usage</w:t>
      </w:r>
    </w:p>
    <w:p w:rsidR="00661DD1" w:rsidRDefault="00661DD1" w:rsidP="00661DD1">
      <w:r w:rsidRPr="00C65AD3">
        <w:t xml:space="preserve">☐ </w:t>
      </w:r>
      <w:r>
        <w:t>Ongoing Audit</w:t>
      </w:r>
    </w:p>
    <w:p w:rsidR="00661DD1" w:rsidRPr="00C65AD3" w:rsidRDefault="00661DD1" w:rsidP="00661DD1">
      <w:r>
        <w:t>Undertake regular audit of use of GP Connect to ensure that access continues to be lawful, appropriate, proportionate and in line with policies and procedures. (See Community Pharmacy Gloucestershire Website for a template Smart Card audit that can be adapted for use in your business)</w:t>
      </w:r>
    </w:p>
    <w:p w:rsidR="00661DD1" w:rsidRDefault="00661DD1" w:rsidP="002B5668"/>
    <w:p w:rsidR="00C65AD3" w:rsidRPr="00C65AD3" w:rsidRDefault="00000000" w:rsidP="006475E5">
      <w:pPr>
        <w:pStyle w:val="Footer"/>
      </w:pPr>
      <w:r>
        <w:pict>
          <v:rect id="_x0000_i1030" style="width:0;height:1.5pt" o:hralign="center" o:hrstd="t" o:hr="t" fillcolor="#a0a0a0" stroked="f"/>
        </w:pict>
      </w:r>
      <w:r w:rsidR="006475E5" w:rsidRPr="006475E5">
        <w:t xml:space="preserve"> </w:t>
      </w:r>
    </w:p>
    <w:p w:rsidR="006475E5" w:rsidRDefault="00000000" w:rsidP="006475E5">
      <w:pPr>
        <w:pStyle w:val="Footer"/>
      </w:pPr>
      <w:r>
        <w:pict>
          <v:rect id="_x0000_i1031" style="width:0;height:1.5pt" o:hralign="center" o:hrstd="t" o:hr="t" fillcolor="#a0a0a0" stroked="f"/>
        </w:pict>
      </w:r>
    </w:p>
    <w:p w:rsidR="006475E5" w:rsidRDefault="006475E5" w:rsidP="006475E5">
      <w:pPr>
        <w:pStyle w:val="Footer"/>
      </w:pPr>
    </w:p>
    <w:p w:rsidR="006475E5" w:rsidRDefault="00000000" w:rsidP="006475E5">
      <w:pPr>
        <w:pStyle w:val="Footer"/>
      </w:pPr>
      <w:r>
        <w:pict>
          <v:rect id="_x0000_i1032" style="width:0;height:1.5pt" o:hralign="center" o:hrstd="t" o:hr="t" fillcolor="#a0a0a0" stroked="f"/>
        </w:pict>
      </w:r>
    </w:p>
    <w:p w:rsidR="006475E5" w:rsidRDefault="006475E5" w:rsidP="006475E5">
      <w:pPr>
        <w:pStyle w:val="Footer"/>
      </w:pPr>
    </w:p>
    <w:p w:rsidR="006475E5" w:rsidRDefault="00000000" w:rsidP="006475E5">
      <w:pPr>
        <w:pStyle w:val="Footer"/>
      </w:pPr>
      <w:r>
        <w:pict>
          <v:rect id="_x0000_i1033" style="width:0;height:1.5pt" o:hralign="center" o:hrstd="t" o:hr="t" fillcolor="#a0a0a0" stroked="f"/>
        </w:pict>
      </w:r>
    </w:p>
    <w:p w:rsidR="006475E5" w:rsidRDefault="006475E5" w:rsidP="006475E5">
      <w:pPr>
        <w:pStyle w:val="Footer"/>
      </w:pPr>
    </w:p>
    <w:p w:rsidR="006475E5" w:rsidRDefault="006475E5" w:rsidP="006475E5">
      <w:pPr>
        <w:pStyle w:val="Footer"/>
      </w:pPr>
    </w:p>
    <w:p w:rsidR="006475E5" w:rsidRDefault="006475E5" w:rsidP="006475E5">
      <w:pPr>
        <w:pStyle w:val="Footer"/>
      </w:pPr>
      <w:r w:rsidRPr="006475E5">
        <w:t xml:space="preserve">This document has been developed by </w:t>
      </w:r>
      <w:r>
        <w:t xml:space="preserve">Community Pharmacy Gloucestershire (CPG) </w:t>
      </w:r>
      <w:r w:rsidRPr="006475E5">
        <w:t>to support contractors with the implementation of</w:t>
      </w:r>
      <w:r>
        <w:t xml:space="preserve"> GP Connect. </w:t>
      </w:r>
      <w:r w:rsidRPr="006475E5">
        <w:t>It is intended for general guidance and information purposes only.</w:t>
      </w:r>
    </w:p>
    <w:p w:rsidR="006475E5" w:rsidRDefault="006475E5" w:rsidP="006475E5">
      <w:pPr>
        <w:pStyle w:val="Footer"/>
      </w:pPr>
      <w:r w:rsidRPr="006475E5">
        <w:br/>
        <w:t>While every effort has been made to ensure accuracy and relevance at the time of publication, CPG accepts no responsibility or liability for any omissions, inaccuracies, or consequences arising from the use of this information.</w:t>
      </w:r>
    </w:p>
    <w:p w:rsidR="006475E5" w:rsidRPr="006475E5" w:rsidRDefault="006475E5" w:rsidP="006475E5">
      <w:pPr>
        <w:pStyle w:val="Footer"/>
      </w:pPr>
      <w:r w:rsidRPr="006475E5">
        <w:br/>
        <w:t>It remains the responsibility of each contractor to ensure they meet all legal, regulatory, and contractual obligations, and to seek independent advice where necessary.</w:t>
      </w:r>
    </w:p>
    <w:p w:rsidR="00C55AC2" w:rsidRPr="00C65AD3" w:rsidRDefault="00C55AC2" w:rsidP="006475E5"/>
    <w:sectPr w:rsidR="00C55AC2" w:rsidRPr="00C65AD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A6D" w:rsidRDefault="00830A6D" w:rsidP="00661DD1">
      <w:pPr>
        <w:spacing w:after="0" w:line="240" w:lineRule="auto"/>
      </w:pPr>
      <w:r>
        <w:separator/>
      </w:r>
    </w:p>
  </w:endnote>
  <w:endnote w:type="continuationSeparator" w:id="0">
    <w:p w:rsidR="00830A6D" w:rsidRDefault="00830A6D" w:rsidP="0066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E5" w:rsidRPr="006475E5" w:rsidRDefault="006475E5">
    <w:pPr>
      <w:pStyle w:val="Footer"/>
      <w:rPr>
        <w:lang w:val="en-US"/>
      </w:rPr>
    </w:pPr>
    <w:r>
      <w:rPr>
        <w:lang w:val="en-US"/>
      </w:rPr>
      <w:t>CPG October 2025 Author R.Myers.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A6D" w:rsidRDefault="00830A6D" w:rsidP="00661DD1">
      <w:pPr>
        <w:spacing w:after="0" w:line="240" w:lineRule="auto"/>
      </w:pPr>
      <w:r>
        <w:separator/>
      </w:r>
    </w:p>
  </w:footnote>
  <w:footnote w:type="continuationSeparator" w:id="0">
    <w:p w:rsidR="00830A6D" w:rsidRDefault="00830A6D" w:rsidP="0066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DC"/>
    <w:multiLevelType w:val="hybridMultilevel"/>
    <w:tmpl w:val="FD3EEB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3A56"/>
    <w:multiLevelType w:val="multilevel"/>
    <w:tmpl w:val="8A28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25645"/>
    <w:multiLevelType w:val="multilevel"/>
    <w:tmpl w:val="9412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4C"/>
    <w:multiLevelType w:val="multilevel"/>
    <w:tmpl w:val="4FD8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B2E76"/>
    <w:multiLevelType w:val="multilevel"/>
    <w:tmpl w:val="38C68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C1737"/>
    <w:multiLevelType w:val="multilevel"/>
    <w:tmpl w:val="81D2D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92734"/>
    <w:multiLevelType w:val="multilevel"/>
    <w:tmpl w:val="5226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F227F"/>
    <w:multiLevelType w:val="hybridMultilevel"/>
    <w:tmpl w:val="3D36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F3D14"/>
    <w:multiLevelType w:val="multilevel"/>
    <w:tmpl w:val="C04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119F7"/>
    <w:multiLevelType w:val="hybridMultilevel"/>
    <w:tmpl w:val="AC9C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D3015"/>
    <w:multiLevelType w:val="multilevel"/>
    <w:tmpl w:val="BF268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47F2C"/>
    <w:multiLevelType w:val="multilevel"/>
    <w:tmpl w:val="0B6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1E1DBE"/>
    <w:multiLevelType w:val="multilevel"/>
    <w:tmpl w:val="7B7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416875"/>
    <w:multiLevelType w:val="multilevel"/>
    <w:tmpl w:val="5CC8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D8006F"/>
    <w:multiLevelType w:val="multilevel"/>
    <w:tmpl w:val="96DC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6341D1"/>
    <w:multiLevelType w:val="multilevel"/>
    <w:tmpl w:val="4FA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40DA8"/>
    <w:multiLevelType w:val="multilevel"/>
    <w:tmpl w:val="237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EC136F"/>
    <w:multiLevelType w:val="multilevel"/>
    <w:tmpl w:val="59184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DD3383"/>
    <w:multiLevelType w:val="multilevel"/>
    <w:tmpl w:val="AE0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120E7D"/>
    <w:multiLevelType w:val="multilevel"/>
    <w:tmpl w:val="E2A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B47042"/>
    <w:multiLevelType w:val="multilevel"/>
    <w:tmpl w:val="DE24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0270B"/>
    <w:multiLevelType w:val="multilevel"/>
    <w:tmpl w:val="2BD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B72E48"/>
    <w:multiLevelType w:val="multilevel"/>
    <w:tmpl w:val="6B80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332C8"/>
    <w:multiLevelType w:val="multilevel"/>
    <w:tmpl w:val="CCD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B3FB2"/>
    <w:multiLevelType w:val="multilevel"/>
    <w:tmpl w:val="B2808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5085A"/>
    <w:multiLevelType w:val="multilevel"/>
    <w:tmpl w:val="0978A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B20F78"/>
    <w:multiLevelType w:val="multilevel"/>
    <w:tmpl w:val="3EC8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6D2083"/>
    <w:multiLevelType w:val="multilevel"/>
    <w:tmpl w:val="FECA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2F0729"/>
    <w:multiLevelType w:val="multilevel"/>
    <w:tmpl w:val="E4D42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394591"/>
    <w:multiLevelType w:val="multilevel"/>
    <w:tmpl w:val="069E2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663FD"/>
    <w:multiLevelType w:val="multilevel"/>
    <w:tmpl w:val="768C6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EC5107"/>
    <w:multiLevelType w:val="multilevel"/>
    <w:tmpl w:val="9DF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844B06"/>
    <w:multiLevelType w:val="multilevel"/>
    <w:tmpl w:val="CACA5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AC5E65"/>
    <w:multiLevelType w:val="multilevel"/>
    <w:tmpl w:val="27D0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676B3E"/>
    <w:multiLevelType w:val="multilevel"/>
    <w:tmpl w:val="F350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E22F5A"/>
    <w:multiLevelType w:val="multilevel"/>
    <w:tmpl w:val="78C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126258"/>
    <w:multiLevelType w:val="multilevel"/>
    <w:tmpl w:val="20E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36F08"/>
    <w:multiLevelType w:val="multilevel"/>
    <w:tmpl w:val="8EC4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F061CF"/>
    <w:multiLevelType w:val="multilevel"/>
    <w:tmpl w:val="2728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C66F63"/>
    <w:multiLevelType w:val="multilevel"/>
    <w:tmpl w:val="DD4E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912FAF"/>
    <w:multiLevelType w:val="multilevel"/>
    <w:tmpl w:val="EFB0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73FF3"/>
    <w:multiLevelType w:val="multilevel"/>
    <w:tmpl w:val="06B6D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0E70AD"/>
    <w:multiLevelType w:val="multilevel"/>
    <w:tmpl w:val="CD92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365A06"/>
    <w:multiLevelType w:val="multilevel"/>
    <w:tmpl w:val="A908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AD2D3F"/>
    <w:multiLevelType w:val="multilevel"/>
    <w:tmpl w:val="166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3F351D"/>
    <w:multiLevelType w:val="multilevel"/>
    <w:tmpl w:val="CC3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3A461D"/>
    <w:multiLevelType w:val="multilevel"/>
    <w:tmpl w:val="23F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3E59DB"/>
    <w:multiLevelType w:val="multilevel"/>
    <w:tmpl w:val="EBA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483437"/>
    <w:multiLevelType w:val="multilevel"/>
    <w:tmpl w:val="BAF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312503"/>
    <w:multiLevelType w:val="multilevel"/>
    <w:tmpl w:val="43847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F45677"/>
    <w:multiLevelType w:val="multilevel"/>
    <w:tmpl w:val="D8A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E330B3"/>
    <w:multiLevelType w:val="multilevel"/>
    <w:tmpl w:val="EB36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3D67DB"/>
    <w:multiLevelType w:val="multilevel"/>
    <w:tmpl w:val="1FC40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E97937"/>
    <w:multiLevelType w:val="multilevel"/>
    <w:tmpl w:val="E990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495F4B"/>
    <w:multiLevelType w:val="multilevel"/>
    <w:tmpl w:val="1A4E6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F52A6C"/>
    <w:multiLevelType w:val="multilevel"/>
    <w:tmpl w:val="6D18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A57B70"/>
    <w:multiLevelType w:val="multilevel"/>
    <w:tmpl w:val="726AE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80273A"/>
    <w:multiLevelType w:val="multilevel"/>
    <w:tmpl w:val="0A8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290717"/>
    <w:multiLevelType w:val="multilevel"/>
    <w:tmpl w:val="4440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5413BD"/>
    <w:multiLevelType w:val="multilevel"/>
    <w:tmpl w:val="FE5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2B7B1F"/>
    <w:multiLevelType w:val="multilevel"/>
    <w:tmpl w:val="6224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4D26B9"/>
    <w:multiLevelType w:val="multilevel"/>
    <w:tmpl w:val="8B5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AD366C"/>
    <w:multiLevelType w:val="multilevel"/>
    <w:tmpl w:val="00F8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D626B3"/>
    <w:multiLevelType w:val="multilevel"/>
    <w:tmpl w:val="A3BA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7967A9"/>
    <w:multiLevelType w:val="multilevel"/>
    <w:tmpl w:val="1D32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CA114C"/>
    <w:multiLevelType w:val="hybridMultilevel"/>
    <w:tmpl w:val="A8FE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542AE5"/>
    <w:multiLevelType w:val="multilevel"/>
    <w:tmpl w:val="9376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7C4A07"/>
    <w:multiLevelType w:val="multilevel"/>
    <w:tmpl w:val="875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76179D"/>
    <w:multiLevelType w:val="multilevel"/>
    <w:tmpl w:val="3866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E9518C"/>
    <w:multiLevelType w:val="multilevel"/>
    <w:tmpl w:val="3B5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685868">
    <w:abstractNumId w:val="51"/>
  </w:num>
  <w:num w:numId="2" w16cid:durableId="1197230343">
    <w:abstractNumId w:val="5"/>
  </w:num>
  <w:num w:numId="3" w16cid:durableId="1881505068">
    <w:abstractNumId w:val="48"/>
  </w:num>
  <w:num w:numId="4" w16cid:durableId="1949583878">
    <w:abstractNumId w:val="46"/>
  </w:num>
  <w:num w:numId="5" w16cid:durableId="343480172">
    <w:abstractNumId w:val="4"/>
  </w:num>
  <w:num w:numId="6" w16cid:durableId="566493622">
    <w:abstractNumId w:val="43"/>
  </w:num>
  <w:num w:numId="7" w16cid:durableId="1010136217">
    <w:abstractNumId w:val="47"/>
  </w:num>
  <w:num w:numId="8" w16cid:durableId="1110314761">
    <w:abstractNumId w:val="59"/>
  </w:num>
  <w:num w:numId="9" w16cid:durableId="1744570817">
    <w:abstractNumId w:val="14"/>
  </w:num>
  <w:num w:numId="10" w16cid:durableId="690691325">
    <w:abstractNumId w:val="54"/>
  </w:num>
  <w:num w:numId="11" w16cid:durableId="2052151695">
    <w:abstractNumId w:val="33"/>
  </w:num>
  <w:num w:numId="12" w16cid:durableId="1192186948">
    <w:abstractNumId w:val="13"/>
  </w:num>
  <w:num w:numId="13" w16cid:durableId="1848131390">
    <w:abstractNumId w:val="60"/>
  </w:num>
  <w:num w:numId="14" w16cid:durableId="960502082">
    <w:abstractNumId w:val="57"/>
  </w:num>
  <w:num w:numId="15" w16cid:durableId="1570195113">
    <w:abstractNumId w:val="36"/>
  </w:num>
  <w:num w:numId="16" w16cid:durableId="1705861763">
    <w:abstractNumId w:val="61"/>
  </w:num>
  <w:num w:numId="17" w16cid:durableId="743726980">
    <w:abstractNumId w:val="3"/>
  </w:num>
  <w:num w:numId="18" w16cid:durableId="905654086">
    <w:abstractNumId w:val="2"/>
  </w:num>
  <w:num w:numId="19" w16cid:durableId="1603488338">
    <w:abstractNumId w:val="31"/>
  </w:num>
  <w:num w:numId="20" w16cid:durableId="539903359">
    <w:abstractNumId w:val="62"/>
  </w:num>
  <w:num w:numId="21" w16cid:durableId="1761221660">
    <w:abstractNumId w:val="8"/>
  </w:num>
  <w:num w:numId="22" w16cid:durableId="530923889">
    <w:abstractNumId w:val="22"/>
  </w:num>
  <w:num w:numId="23" w16cid:durableId="673456540">
    <w:abstractNumId w:val="35"/>
  </w:num>
  <w:num w:numId="24" w16cid:durableId="1855730742">
    <w:abstractNumId w:val="12"/>
  </w:num>
  <w:num w:numId="25" w16cid:durableId="388655581">
    <w:abstractNumId w:val="34"/>
  </w:num>
  <w:num w:numId="26" w16cid:durableId="856190579">
    <w:abstractNumId w:val="19"/>
  </w:num>
  <w:num w:numId="27" w16cid:durableId="1780371100">
    <w:abstractNumId w:val="11"/>
  </w:num>
  <w:num w:numId="28" w16cid:durableId="1280259893">
    <w:abstractNumId w:val="55"/>
  </w:num>
  <w:num w:numId="29" w16cid:durableId="1429739998">
    <w:abstractNumId w:val="32"/>
  </w:num>
  <w:num w:numId="30" w16cid:durableId="940801043">
    <w:abstractNumId w:val="17"/>
  </w:num>
  <w:num w:numId="31" w16cid:durableId="826243132">
    <w:abstractNumId w:val="40"/>
  </w:num>
  <w:num w:numId="32" w16cid:durableId="1268659873">
    <w:abstractNumId w:val="67"/>
  </w:num>
  <w:num w:numId="33" w16cid:durableId="2068644591">
    <w:abstractNumId w:val="69"/>
  </w:num>
  <w:num w:numId="34" w16cid:durableId="1343706704">
    <w:abstractNumId w:val="39"/>
  </w:num>
  <w:num w:numId="35" w16cid:durableId="1787889365">
    <w:abstractNumId w:val="68"/>
  </w:num>
  <w:num w:numId="36" w16cid:durableId="638073825">
    <w:abstractNumId w:val="29"/>
  </w:num>
  <w:num w:numId="37" w16cid:durableId="1553153671">
    <w:abstractNumId w:val="64"/>
  </w:num>
  <w:num w:numId="38" w16cid:durableId="152112311">
    <w:abstractNumId w:val="10"/>
  </w:num>
  <w:num w:numId="39" w16cid:durableId="663240648">
    <w:abstractNumId w:val="16"/>
  </w:num>
  <w:num w:numId="40" w16cid:durableId="1795127445">
    <w:abstractNumId w:val="23"/>
  </w:num>
  <w:num w:numId="41" w16cid:durableId="179510944">
    <w:abstractNumId w:val="38"/>
  </w:num>
  <w:num w:numId="42" w16cid:durableId="1978411594">
    <w:abstractNumId w:val="21"/>
  </w:num>
  <w:num w:numId="43" w16cid:durableId="1444616525">
    <w:abstractNumId w:val="18"/>
  </w:num>
  <w:num w:numId="44" w16cid:durableId="284771169">
    <w:abstractNumId w:val="50"/>
  </w:num>
  <w:num w:numId="45" w16cid:durableId="1321153623">
    <w:abstractNumId w:val="28"/>
  </w:num>
  <w:num w:numId="46" w16cid:durableId="651369764">
    <w:abstractNumId w:val="30"/>
  </w:num>
  <w:num w:numId="47" w16cid:durableId="1041712380">
    <w:abstractNumId w:val="27"/>
  </w:num>
  <w:num w:numId="48" w16cid:durableId="2109419508">
    <w:abstractNumId w:val="42"/>
  </w:num>
  <w:num w:numId="49" w16cid:durableId="2036731098">
    <w:abstractNumId w:val="52"/>
  </w:num>
  <w:num w:numId="50" w16cid:durableId="1598100664">
    <w:abstractNumId w:val="26"/>
  </w:num>
  <w:num w:numId="51" w16cid:durableId="1202671991">
    <w:abstractNumId w:val="15"/>
  </w:num>
  <w:num w:numId="52" w16cid:durableId="1927692051">
    <w:abstractNumId w:val="1"/>
  </w:num>
  <w:num w:numId="53" w16cid:durableId="2040201634">
    <w:abstractNumId w:val="58"/>
  </w:num>
  <w:num w:numId="54" w16cid:durableId="769008197">
    <w:abstractNumId w:val="49"/>
  </w:num>
  <w:num w:numId="55" w16cid:durableId="197858227">
    <w:abstractNumId w:val="63"/>
  </w:num>
  <w:num w:numId="56" w16cid:durableId="1606185591">
    <w:abstractNumId w:val="56"/>
  </w:num>
  <w:num w:numId="57" w16cid:durableId="651493750">
    <w:abstractNumId w:val="45"/>
  </w:num>
  <w:num w:numId="58" w16cid:durableId="2007244150">
    <w:abstractNumId w:val="24"/>
  </w:num>
  <w:num w:numId="59" w16cid:durableId="1137801387">
    <w:abstractNumId w:val="53"/>
  </w:num>
  <w:num w:numId="60" w16cid:durableId="1171718422">
    <w:abstractNumId w:val="66"/>
  </w:num>
  <w:num w:numId="61" w16cid:durableId="441582650">
    <w:abstractNumId w:val="41"/>
  </w:num>
  <w:num w:numId="62" w16cid:durableId="1693191970">
    <w:abstractNumId w:val="44"/>
  </w:num>
  <w:num w:numId="63" w16cid:durableId="1584296560">
    <w:abstractNumId w:val="25"/>
  </w:num>
  <w:num w:numId="64" w16cid:durableId="192306697">
    <w:abstractNumId w:val="6"/>
  </w:num>
  <w:num w:numId="65" w16cid:durableId="963000912">
    <w:abstractNumId w:val="37"/>
  </w:num>
  <w:num w:numId="66" w16cid:durableId="1499228970">
    <w:abstractNumId w:val="7"/>
  </w:num>
  <w:num w:numId="67" w16cid:durableId="1723483584">
    <w:abstractNumId w:val="9"/>
  </w:num>
  <w:num w:numId="68" w16cid:durableId="686902787">
    <w:abstractNumId w:val="20"/>
  </w:num>
  <w:num w:numId="69" w16cid:durableId="1905531928">
    <w:abstractNumId w:val="65"/>
  </w:num>
  <w:num w:numId="70" w16cid:durableId="197902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D3"/>
    <w:rsid w:val="000654A7"/>
    <w:rsid w:val="00176F50"/>
    <w:rsid w:val="002B5668"/>
    <w:rsid w:val="002B62AA"/>
    <w:rsid w:val="003B4AC9"/>
    <w:rsid w:val="00420556"/>
    <w:rsid w:val="00447EA5"/>
    <w:rsid w:val="0046000D"/>
    <w:rsid w:val="006475E5"/>
    <w:rsid w:val="00661DD1"/>
    <w:rsid w:val="007E712D"/>
    <w:rsid w:val="00830A6D"/>
    <w:rsid w:val="00C20DC6"/>
    <w:rsid w:val="00C55AC2"/>
    <w:rsid w:val="00C65AD3"/>
    <w:rsid w:val="00D737EC"/>
    <w:rsid w:val="00F16C68"/>
    <w:rsid w:val="00F31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E69A6B-ACBF-451F-BF3E-A77C2E45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AD3"/>
    <w:rPr>
      <w:rFonts w:eastAsiaTheme="majorEastAsia" w:cstheme="majorBidi"/>
      <w:color w:val="272727" w:themeColor="text1" w:themeTint="D8"/>
    </w:rPr>
  </w:style>
  <w:style w:type="paragraph" w:styleId="Title">
    <w:name w:val="Title"/>
    <w:basedOn w:val="Normal"/>
    <w:next w:val="Normal"/>
    <w:link w:val="TitleChar"/>
    <w:uiPriority w:val="10"/>
    <w:qFormat/>
    <w:rsid w:val="00C65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AD3"/>
    <w:pPr>
      <w:spacing w:before="160"/>
      <w:jc w:val="center"/>
    </w:pPr>
    <w:rPr>
      <w:i/>
      <w:iCs/>
      <w:color w:val="404040" w:themeColor="text1" w:themeTint="BF"/>
    </w:rPr>
  </w:style>
  <w:style w:type="character" w:customStyle="1" w:styleId="QuoteChar">
    <w:name w:val="Quote Char"/>
    <w:basedOn w:val="DefaultParagraphFont"/>
    <w:link w:val="Quote"/>
    <w:uiPriority w:val="29"/>
    <w:rsid w:val="00C65AD3"/>
    <w:rPr>
      <w:i/>
      <w:iCs/>
      <w:color w:val="404040" w:themeColor="text1" w:themeTint="BF"/>
    </w:rPr>
  </w:style>
  <w:style w:type="paragraph" w:styleId="ListParagraph">
    <w:name w:val="List Paragraph"/>
    <w:basedOn w:val="Normal"/>
    <w:uiPriority w:val="34"/>
    <w:qFormat/>
    <w:rsid w:val="00C65AD3"/>
    <w:pPr>
      <w:ind w:left="720"/>
      <w:contextualSpacing/>
    </w:pPr>
  </w:style>
  <w:style w:type="character" w:styleId="IntenseEmphasis">
    <w:name w:val="Intense Emphasis"/>
    <w:basedOn w:val="DefaultParagraphFont"/>
    <w:uiPriority w:val="21"/>
    <w:qFormat/>
    <w:rsid w:val="00C65AD3"/>
    <w:rPr>
      <w:i/>
      <w:iCs/>
      <w:color w:val="0F4761" w:themeColor="accent1" w:themeShade="BF"/>
    </w:rPr>
  </w:style>
  <w:style w:type="paragraph" w:styleId="IntenseQuote">
    <w:name w:val="Intense Quote"/>
    <w:basedOn w:val="Normal"/>
    <w:next w:val="Normal"/>
    <w:link w:val="IntenseQuoteChar"/>
    <w:uiPriority w:val="30"/>
    <w:qFormat/>
    <w:rsid w:val="00C65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AD3"/>
    <w:rPr>
      <w:i/>
      <w:iCs/>
      <w:color w:val="0F4761" w:themeColor="accent1" w:themeShade="BF"/>
    </w:rPr>
  </w:style>
  <w:style w:type="character" w:styleId="IntenseReference">
    <w:name w:val="Intense Reference"/>
    <w:basedOn w:val="DefaultParagraphFont"/>
    <w:uiPriority w:val="32"/>
    <w:qFormat/>
    <w:rsid w:val="00C65AD3"/>
    <w:rPr>
      <w:b/>
      <w:bCs/>
      <w:smallCaps/>
      <w:color w:val="0F4761" w:themeColor="accent1" w:themeShade="BF"/>
      <w:spacing w:val="5"/>
    </w:rPr>
  </w:style>
  <w:style w:type="character" w:styleId="Hyperlink">
    <w:name w:val="Hyperlink"/>
    <w:basedOn w:val="DefaultParagraphFont"/>
    <w:uiPriority w:val="99"/>
    <w:unhideWhenUsed/>
    <w:rsid w:val="00C65AD3"/>
    <w:rPr>
      <w:color w:val="467886" w:themeColor="hyperlink"/>
      <w:u w:val="single"/>
    </w:rPr>
  </w:style>
  <w:style w:type="character" w:styleId="UnresolvedMention">
    <w:name w:val="Unresolved Mention"/>
    <w:basedOn w:val="DefaultParagraphFont"/>
    <w:uiPriority w:val="99"/>
    <w:semiHidden/>
    <w:unhideWhenUsed/>
    <w:rsid w:val="00C65AD3"/>
    <w:rPr>
      <w:color w:val="605E5C"/>
      <w:shd w:val="clear" w:color="auto" w:fill="E1DFDD"/>
    </w:rPr>
  </w:style>
  <w:style w:type="character" w:styleId="FollowedHyperlink">
    <w:name w:val="FollowedHyperlink"/>
    <w:basedOn w:val="DefaultParagraphFont"/>
    <w:uiPriority w:val="99"/>
    <w:semiHidden/>
    <w:unhideWhenUsed/>
    <w:rsid w:val="0046000D"/>
    <w:rPr>
      <w:color w:val="96607D" w:themeColor="followedHyperlink"/>
      <w:u w:val="single"/>
    </w:rPr>
  </w:style>
  <w:style w:type="paragraph" w:styleId="Header">
    <w:name w:val="header"/>
    <w:basedOn w:val="Normal"/>
    <w:link w:val="HeaderChar"/>
    <w:uiPriority w:val="99"/>
    <w:unhideWhenUsed/>
    <w:rsid w:val="00661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DD1"/>
  </w:style>
  <w:style w:type="paragraph" w:styleId="Footer">
    <w:name w:val="footer"/>
    <w:basedOn w:val="Normal"/>
    <w:link w:val="FooterChar"/>
    <w:uiPriority w:val="99"/>
    <w:unhideWhenUsed/>
    <w:rsid w:val="00661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gp-connect" TargetMode="External"/><Relationship Id="rId13" Type="http://schemas.openxmlformats.org/officeDocument/2006/relationships/hyperlink" Target="https://cpe.org.uk/wp-content/uploads/2020/01/DSPTK-Template-series-doc-05A-Privacy-notice-transparency-leaflet-standard-print.docx" TargetMode="External"/><Relationship Id="rId3" Type="http://schemas.openxmlformats.org/officeDocument/2006/relationships/settings" Target="settings.xml"/><Relationship Id="rId7" Type="http://schemas.openxmlformats.org/officeDocument/2006/relationships/hyperlink" Target="https://cpe.org.uk/digital-and-technology/standards-and-interoperability-it/gp-connect/" TargetMode="External"/><Relationship Id="rId12" Type="http://schemas.openxmlformats.org/officeDocument/2006/relationships/hyperlink" Target="https://cpe.org.uk/wp-content/uploads/2024/10/Pharmacy-model-DPIA.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e.org.uk/digital-and-technology/standards-and-interoperability-it/gp-conne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pe.org.uk/wp-content/uploads/2020/01/DSPTK-Template-series-doc-05A-Privacy-notice-transparency-leaflet-standard-print.docx" TargetMode="External"/><Relationship Id="rId4" Type="http://schemas.openxmlformats.org/officeDocument/2006/relationships/webSettings" Target="webSettings.xml"/><Relationship Id="rId9" Type="http://schemas.openxmlformats.org/officeDocument/2006/relationships/hyperlink" Target="https://cpe.org.uk/digital-and-technology/data-security/data-security-templates/" TargetMode="External"/><Relationship Id="rId14" Type="http://schemas.openxmlformats.org/officeDocument/2006/relationships/hyperlink" Target="https://cpe.org.uk/digital-and-technology/data-security/data-security-and-protec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Myers</dc:creator>
  <cp:keywords/>
  <dc:description/>
  <cp:lastModifiedBy>Rebecca Myers</cp:lastModifiedBy>
  <cp:revision>2</cp:revision>
  <dcterms:created xsi:type="dcterms:W3CDTF">2025-10-22T09:45:00Z</dcterms:created>
  <dcterms:modified xsi:type="dcterms:W3CDTF">2025-10-22T09:45:00Z</dcterms:modified>
</cp:coreProperties>
</file>