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03DD" w14:textId="65920036" w:rsidR="006015A9" w:rsidRPr="0036233D" w:rsidRDefault="0036233D" w:rsidP="0052696F">
      <w:pPr>
        <w:jc w:val="center"/>
        <w:rPr>
          <w:b/>
          <w:u w:val="single"/>
        </w:rPr>
      </w:pPr>
      <w:r w:rsidRPr="0036233D">
        <w:rPr>
          <w:b/>
          <w:u w:val="single"/>
        </w:rPr>
        <w:t xml:space="preserve">Minutes of </w:t>
      </w:r>
      <w:r w:rsidR="00160881">
        <w:rPr>
          <w:b/>
          <w:u w:val="single"/>
        </w:rPr>
        <w:t>CPG</w:t>
      </w:r>
      <w:r w:rsidRPr="0036233D">
        <w:rPr>
          <w:b/>
          <w:u w:val="single"/>
        </w:rPr>
        <w:t xml:space="preserve"> </w:t>
      </w:r>
      <w:r w:rsidR="00D862A6">
        <w:rPr>
          <w:b/>
          <w:u w:val="single"/>
        </w:rPr>
        <w:t>Sept 15</w:t>
      </w:r>
      <w:r w:rsidR="00CD5C9F" w:rsidRPr="00CD5C9F">
        <w:rPr>
          <w:b/>
          <w:u w:val="single"/>
          <w:vertAlign w:val="superscript"/>
        </w:rPr>
        <w:t>h</w:t>
      </w:r>
      <w:r w:rsidR="00CD5C9F">
        <w:rPr>
          <w:b/>
          <w:u w:val="single"/>
        </w:rPr>
        <w:t xml:space="preserve"> 202</w:t>
      </w:r>
      <w:r w:rsidR="00B6470A">
        <w:rPr>
          <w:b/>
          <w:u w:val="single"/>
        </w:rPr>
        <w:t>3</w:t>
      </w:r>
    </w:p>
    <w:p w14:paraId="6D873290" w14:textId="7F02D1AE" w:rsidR="0036233D" w:rsidRPr="003724F7" w:rsidRDefault="006A217B">
      <w:bookmarkStart w:id="0" w:name="_Hlk109042222"/>
      <w:r w:rsidRPr="0036233D">
        <w:rPr>
          <w:b/>
        </w:rPr>
        <w:t>Apologies:</w:t>
      </w:r>
      <w:r>
        <w:t xml:space="preserve"> –</w:t>
      </w:r>
      <w:r w:rsidR="00D347BE" w:rsidRPr="00D347BE">
        <w:t xml:space="preserve"> </w:t>
      </w:r>
      <w:r w:rsidR="00D862A6">
        <w:t>None</w:t>
      </w:r>
    </w:p>
    <w:p w14:paraId="76ABB31F" w14:textId="0EA12822" w:rsidR="00ED09AE" w:rsidRDefault="00ED09AE">
      <w:r w:rsidRPr="00652815">
        <w:rPr>
          <w:b/>
        </w:rPr>
        <w:t>In Attendance:</w:t>
      </w:r>
      <w:r>
        <w:t xml:space="preserve"> Andrew Lane- chair (AL),</w:t>
      </w:r>
      <w:r w:rsidR="00B6470A" w:rsidRPr="00B6470A">
        <w:t xml:space="preserve"> </w:t>
      </w:r>
      <w:r w:rsidR="00B6470A">
        <w:t>Satwinder Sandha – CCA (SS), Gary Barber – IND (GB),</w:t>
      </w:r>
      <w:r w:rsidR="00D347BE">
        <w:t xml:space="preserve"> </w:t>
      </w:r>
      <w:r>
        <w:t>Sam Bradshaw- support officer (SB</w:t>
      </w:r>
      <w:r w:rsidR="00896D44">
        <w:t>)</w:t>
      </w:r>
      <w:r w:rsidR="00CB0C0A">
        <w:t>, Steve Ireland – AIM (SI</w:t>
      </w:r>
      <w:r w:rsidR="00BE13DE">
        <w:t>)</w:t>
      </w:r>
      <w:r w:rsidR="00B93CA1">
        <w:t xml:space="preserve">, </w:t>
      </w:r>
      <w:r w:rsidR="00CD5C9F">
        <w:t>Neetan Jain – IND (NJ)</w:t>
      </w:r>
      <w:r w:rsidR="00896D44">
        <w:t>,</w:t>
      </w:r>
      <w:r w:rsidR="00896D44" w:rsidRPr="00896D44">
        <w:t xml:space="preserve"> </w:t>
      </w:r>
      <w:r w:rsidR="00896D44">
        <w:t xml:space="preserve">Rebecca Myers – AIM and Partnerships Manager (RM), </w:t>
      </w:r>
      <w:proofErr w:type="spellStart"/>
      <w:r w:rsidR="00896D44">
        <w:t>Etisham</w:t>
      </w:r>
      <w:proofErr w:type="spellEnd"/>
      <w:r w:rsidR="00896D44">
        <w:t xml:space="preserve"> Kiani – IND (EK), </w:t>
      </w:r>
      <w:r w:rsidR="008C7BAF">
        <w:t>Will Pearce – CCA (WP</w:t>
      </w:r>
      <w:bookmarkStart w:id="1" w:name="_Hlk113886857"/>
      <w:r w:rsidR="008C7BAF">
        <w:t>)</w:t>
      </w:r>
      <w:bookmarkEnd w:id="1"/>
      <w:r w:rsidR="008C7BAF">
        <w:t>, Vas Alafodimos -CCA (VA)</w:t>
      </w:r>
      <w:bookmarkEnd w:id="0"/>
      <w:r w:rsidR="00C205DD">
        <w:t>, Paul Gregg (AIM) (PG).</w:t>
      </w:r>
      <w:r w:rsidR="00D862A6">
        <w:t xml:space="preserve"> Wayne Ryan</w:t>
      </w:r>
      <w:r w:rsidR="008E09B4">
        <w:t xml:space="preserve"> (CCA) (WR), Matt </w:t>
      </w:r>
      <w:proofErr w:type="spellStart"/>
      <w:r w:rsidR="008E09B4">
        <w:t>Mollens</w:t>
      </w:r>
      <w:proofErr w:type="spellEnd"/>
      <w:r w:rsidR="008E09B4">
        <w:t xml:space="preserve"> (</w:t>
      </w:r>
      <w:r w:rsidR="00B840D6">
        <w:t>MM)</w:t>
      </w:r>
    </w:p>
    <w:p w14:paraId="32ACE5EF" w14:textId="1571B8C1" w:rsidR="0036233D" w:rsidRPr="00B6470A" w:rsidRDefault="0036233D" w:rsidP="00B6470A">
      <w:pPr>
        <w:rPr>
          <w:b/>
        </w:rPr>
      </w:pPr>
      <w:r>
        <w:rPr>
          <w:b/>
        </w:rPr>
        <w:t>Guests:</w:t>
      </w:r>
      <w:r w:rsidR="00C205DD">
        <w:rPr>
          <w:b/>
        </w:rPr>
        <w:t xml:space="preserve"> </w:t>
      </w:r>
      <w:r w:rsidR="00E301F2">
        <w:rPr>
          <w:b/>
        </w:rPr>
        <w:t xml:space="preserve">Bev </w:t>
      </w:r>
      <w:proofErr w:type="spellStart"/>
      <w:r w:rsidR="00E301F2">
        <w:rPr>
          <w:b/>
        </w:rPr>
        <w:t>Bazant</w:t>
      </w:r>
      <w:proofErr w:type="spellEnd"/>
      <w:r w:rsidR="00C205DD">
        <w:rPr>
          <w:b/>
        </w:rPr>
        <w:t>,</w:t>
      </w:r>
      <w:r w:rsidR="00E301F2">
        <w:rPr>
          <w:b/>
        </w:rPr>
        <w:t xml:space="preserve"> A</w:t>
      </w:r>
      <w:r w:rsidR="00BA08B4">
        <w:rPr>
          <w:b/>
        </w:rPr>
        <w:t>itzol Ca</w:t>
      </w:r>
      <w:r w:rsidR="00F533F1">
        <w:rPr>
          <w:b/>
        </w:rPr>
        <w:t>l</w:t>
      </w:r>
      <w:r w:rsidR="00BA08B4">
        <w:rPr>
          <w:b/>
        </w:rPr>
        <w:t>l</w:t>
      </w:r>
      <w:r w:rsidR="00C46AAB">
        <w:rPr>
          <w:b/>
        </w:rPr>
        <w:t xml:space="preserve">eja </w:t>
      </w:r>
      <w:proofErr w:type="spellStart"/>
      <w:r w:rsidR="00C46AAB">
        <w:rPr>
          <w:b/>
        </w:rPr>
        <w:t>Tolosa</w:t>
      </w:r>
      <w:proofErr w:type="spellEnd"/>
      <w:r w:rsidR="00F533F1">
        <w:rPr>
          <w:b/>
        </w:rPr>
        <w:t>, Grace (</w:t>
      </w:r>
      <w:proofErr w:type="spellStart"/>
      <w:r w:rsidR="00F533F1">
        <w:rPr>
          <w:b/>
        </w:rPr>
        <w:t>Chelt</w:t>
      </w:r>
      <w:proofErr w:type="spellEnd"/>
      <w:r w:rsidR="00F533F1">
        <w:rPr>
          <w:b/>
        </w:rPr>
        <w:t xml:space="preserve"> PCN) </w:t>
      </w:r>
      <w:r w:rsidR="00C205DD">
        <w:rPr>
          <w:b/>
        </w:rPr>
        <w:t>Sian Williams</w:t>
      </w:r>
      <w:r w:rsidR="00F533F1">
        <w:rPr>
          <w:b/>
        </w:rPr>
        <w:t xml:space="preserve"> (ICB), David </w:t>
      </w:r>
      <w:r w:rsidR="009B55AE">
        <w:rPr>
          <w:b/>
        </w:rPr>
        <w:t>Annetts</w:t>
      </w:r>
      <w:r w:rsidR="00D876A1">
        <w:rPr>
          <w:b/>
        </w:rPr>
        <w:t>, Deen Amzart (Pfizer)</w:t>
      </w:r>
      <w:r w:rsidR="00C205DD">
        <w:rPr>
          <w:b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0"/>
        <w:gridCol w:w="6344"/>
        <w:gridCol w:w="1032"/>
      </w:tblGrid>
      <w:tr w:rsidR="00511CA0" w14:paraId="7F079450" w14:textId="77777777" w:rsidTr="002144A7">
        <w:tc>
          <w:tcPr>
            <w:tcW w:w="910" w:type="pct"/>
          </w:tcPr>
          <w:p w14:paraId="2DFDE0FC" w14:textId="77777777" w:rsidR="00511CA0" w:rsidRPr="004841C4" w:rsidRDefault="00511CA0">
            <w:pPr>
              <w:rPr>
                <w:b/>
                <w:bCs/>
                <w:u w:val="single"/>
              </w:rPr>
            </w:pPr>
          </w:p>
        </w:tc>
        <w:tc>
          <w:tcPr>
            <w:tcW w:w="3518" w:type="pct"/>
          </w:tcPr>
          <w:p w14:paraId="7FACF13E" w14:textId="77777777" w:rsidR="00511CA0" w:rsidRDefault="00511CA0"/>
        </w:tc>
        <w:tc>
          <w:tcPr>
            <w:tcW w:w="572" w:type="pct"/>
          </w:tcPr>
          <w:p w14:paraId="28AFE597" w14:textId="77777777" w:rsidR="00511CA0" w:rsidRPr="00511CA0" w:rsidRDefault="00511CA0">
            <w:pPr>
              <w:rPr>
                <w:b/>
                <w:bCs/>
              </w:rPr>
            </w:pPr>
            <w:r w:rsidRPr="00511CA0">
              <w:rPr>
                <w:b/>
                <w:bCs/>
              </w:rPr>
              <w:t>ACTIONS</w:t>
            </w:r>
          </w:p>
        </w:tc>
      </w:tr>
      <w:tr w:rsidR="00511CA0" w14:paraId="337271AD" w14:textId="77777777" w:rsidTr="002144A7">
        <w:tc>
          <w:tcPr>
            <w:tcW w:w="910" w:type="pct"/>
          </w:tcPr>
          <w:p w14:paraId="60D1C5AF" w14:textId="77777777" w:rsidR="00511CA0" w:rsidRPr="004841C4" w:rsidRDefault="00511CA0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Welcome and introductions</w:t>
            </w:r>
          </w:p>
        </w:tc>
        <w:tc>
          <w:tcPr>
            <w:tcW w:w="3518" w:type="pct"/>
          </w:tcPr>
          <w:p w14:paraId="6A99B7E4" w14:textId="2EB977DD" w:rsidR="00043F59" w:rsidRDefault="00043F59"/>
        </w:tc>
        <w:tc>
          <w:tcPr>
            <w:tcW w:w="572" w:type="pct"/>
          </w:tcPr>
          <w:p w14:paraId="2630A68F" w14:textId="77777777" w:rsidR="00511CA0" w:rsidRPr="00511CA0" w:rsidRDefault="00511CA0">
            <w:pPr>
              <w:rPr>
                <w:b/>
                <w:bCs/>
              </w:rPr>
            </w:pPr>
          </w:p>
        </w:tc>
      </w:tr>
      <w:tr w:rsidR="00511CA0" w14:paraId="4E8F5EC1" w14:textId="77777777" w:rsidTr="002144A7">
        <w:tc>
          <w:tcPr>
            <w:tcW w:w="910" w:type="pct"/>
          </w:tcPr>
          <w:p w14:paraId="487FB664" w14:textId="6566F3AB" w:rsidR="00511CA0" w:rsidRDefault="0083047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July </w:t>
            </w:r>
            <w:r w:rsidR="00511CA0">
              <w:rPr>
                <w:b/>
                <w:bCs/>
                <w:u w:val="single"/>
              </w:rPr>
              <w:t xml:space="preserve">meeting minutes </w:t>
            </w:r>
          </w:p>
        </w:tc>
        <w:tc>
          <w:tcPr>
            <w:tcW w:w="3518" w:type="pct"/>
          </w:tcPr>
          <w:p w14:paraId="581CFF97" w14:textId="77777777" w:rsidR="00511CA0" w:rsidRDefault="00511CA0">
            <w:r>
              <w:t>Approved for publication.</w:t>
            </w:r>
          </w:p>
          <w:p w14:paraId="6684EB2C" w14:textId="4347FD65" w:rsidR="00B6470A" w:rsidRDefault="00B6470A"/>
        </w:tc>
        <w:tc>
          <w:tcPr>
            <w:tcW w:w="572" w:type="pct"/>
          </w:tcPr>
          <w:p w14:paraId="143EF6D1" w14:textId="77777777" w:rsidR="00511CA0" w:rsidRPr="00DB567F" w:rsidRDefault="00511CA0">
            <w:pPr>
              <w:rPr>
                <w:b/>
                <w:bCs/>
              </w:rPr>
            </w:pPr>
            <w:r w:rsidRPr="00DB567F">
              <w:rPr>
                <w:b/>
                <w:bCs/>
              </w:rPr>
              <w:t xml:space="preserve">SB </w:t>
            </w:r>
          </w:p>
        </w:tc>
      </w:tr>
      <w:tr w:rsidR="00511CA0" w14:paraId="3C650CDD" w14:textId="77777777" w:rsidTr="002144A7">
        <w:tc>
          <w:tcPr>
            <w:tcW w:w="910" w:type="pct"/>
          </w:tcPr>
          <w:p w14:paraId="6D33001B" w14:textId="77777777" w:rsidR="00511CA0" w:rsidRPr="004841C4" w:rsidRDefault="00511CA0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Officer reports</w:t>
            </w:r>
          </w:p>
        </w:tc>
        <w:tc>
          <w:tcPr>
            <w:tcW w:w="3518" w:type="pct"/>
          </w:tcPr>
          <w:p w14:paraId="0113F6E1" w14:textId="603829E3" w:rsidR="00C070D4" w:rsidRPr="00C070D4" w:rsidRDefault="00BD7AB6" w:rsidP="006B26E6">
            <w:r>
              <w:rPr>
                <w:b/>
                <w:bCs/>
              </w:rPr>
              <w:t xml:space="preserve">RM </w:t>
            </w:r>
            <w:r w:rsidRPr="00BD7AB6">
              <w:t>– Gave a summary of work</w:t>
            </w:r>
            <w:r>
              <w:t xml:space="preserve"> – items discussed in </w:t>
            </w:r>
            <w:r w:rsidR="00B6470A">
              <w:t>services.</w:t>
            </w:r>
          </w:p>
          <w:p w14:paraId="35EB3A6D" w14:textId="4C782EAE" w:rsidR="00FB5E38" w:rsidRDefault="00511CA0" w:rsidP="005A59F3">
            <w:pPr>
              <w:pStyle w:val="NoSpacing"/>
            </w:pPr>
            <w:r w:rsidRPr="00301797">
              <w:rPr>
                <w:b/>
                <w:bCs/>
              </w:rPr>
              <w:t xml:space="preserve">SB </w:t>
            </w:r>
            <w:r>
              <w:t xml:space="preserve">– </w:t>
            </w:r>
            <w:r w:rsidR="00BD7AB6">
              <w:t xml:space="preserve">Gave a summary of work </w:t>
            </w:r>
            <w:r w:rsidR="00C355DD">
              <w:t xml:space="preserve">– items discussed in </w:t>
            </w:r>
            <w:r w:rsidR="00B6470A">
              <w:t>services.</w:t>
            </w:r>
          </w:p>
          <w:p w14:paraId="61A499D5" w14:textId="77777777" w:rsidR="005B0006" w:rsidRDefault="005B0006" w:rsidP="00B6470A">
            <w:r w:rsidRPr="004841C4">
              <w:rPr>
                <w:b/>
                <w:bCs/>
              </w:rPr>
              <w:t>AL</w:t>
            </w:r>
            <w:r>
              <w:t>- Gave a summary of work</w:t>
            </w:r>
            <w:r w:rsidR="0015212E">
              <w:t xml:space="preserve"> </w:t>
            </w:r>
            <w:r w:rsidR="00B6470A">
              <w:t>&amp; meetings</w:t>
            </w:r>
          </w:p>
          <w:p w14:paraId="21D19DC8" w14:textId="72B5D73D" w:rsidR="00160881" w:rsidRPr="005A59F3" w:rsidRDefault="00B6360D" w:rsidP="00B6470A">
            <w:r>
              <w:t xml:space="preserve">Discussed </w:t>
            </w:r>
            <w:r w:rsidR="007B3092">
              <w:t xml:space="preserve">Services, ICB/CPG working strategy, </w:t>
            </w:r>
            <w:r w:rsidR="005D3130">
              <w:t>meds supplies, workforce</w:t>
            </w:r>
            <w:r w:rsidR="004D6A50">
              <w:t>.</w:t>
            </w:r>
          </w:p>
        </w:tc>
        <w:tc>
          <w:tcPr>
            <w:tcW w:w="572" w:type="pct"/>
          </w:tcPr>
          <w:p w14:paraId="019ED50E" w14:textId="77777777" w:rsidR="00511CA0" w:rsidRDefault="00511CA0" w:rsidP="006B26E6">
            <w:pPr>
              <w:rPr>
                <w:b/>
                <w:bCs/>
              </w:rPr>
            </w:pPr>
          </w:p>
          <w:p w14:paraId="456033EE" w14:textId="77777777" w:rsidR="005A7908" w:rsidRDefault="005A7908" w:rsidP="006B26E6">
            <w:pPr>
              <w:rPr>
                <w:b/>
                <w:bCs/>
              </w:rPr>
            </w:pPr>
          </w:p>
          <w:p w14:paraId="16B513FF" w14:textId="77777777" w:rsidR="005A7908" w:rsidRDefault="005A7908" w:rsidP="006B26E6">
            <w:pPr>
              <w:rPr>
                <w:b/>
                <w:bCs/>
              </w:rPr>
            </w:pPr>
          </w:p>
          <w:p w14:paraId="3BCCD71B" w14:textId="77777777" w:rsidR="00FB5E38" w:rsidRPr="004841C4" w:rsidRDefault="00FB5E38" w:rsidP="006B26E6">
            <w:pPr>
              <w:rPr>
                <w:b/>
                <w:bCs/>
              </w:rPr>
            </w:pPr>
          </w:p>
        </w:tc>
      </w:tr>
      <w:tr w:rsidR="00511CA0" w14:paraId="72676738" w14:textId="77777777" w:rsidTr="002144A7">
        <w:trPr>
          <w:trHeight w:val="538"/>
        </w:trPr>
        <w:tc>
          <w:tcPr>
            <w:tcW w:w="910" w:type="pct"/>
          </w:tcPr>
          <w:p w14:paraId="0BAB3CE6" w14:textId="23F80E73" w:rsidR="00B24CF9" w:rsidRPr="004841C4" w:rsidRDefault="00511CA0" w:rsidP="00367CA8">
            <w:pPr>
              <w:rPr>
                <w:b/>
                <w:bCs/>
                <w:u w:val="single"/>
              </w:rPr>
            </w:pPr>
            <w:r w:rsidRPr="004841C4">
              <w:rPr>
                <w:b/>
                <w:bCs/>
                <w:u w:val="single"/>
              </w:rPr>
              <w:t>Treasurer</w:t>
            </w:r>
            <w:r w:rsidR="008C35F9">
              <w:rPr>
                <w:b/>
                <w:bCs/>
                <w:u w:val="single"/>
              </w:rPr>
              <w:t xml:space="preserve"> </w:t>
            </w:r>
            <w:r w:rsidRPr="004841C4">
              <w:rPr>
                <w:b/>
                <w:bCs/>
                <w:u w:val="single"/>
              </w:rPr>
              <w:t>update</w:t>
            </w:r>
          </w:p>
        </w:tc>
        <w:tc>
          <w:tcPr>
            <w:tcW w:w="3518" w:type="pct"/>
          </w:tcPr>
          <w:p w14:paraId="7709D02C" w14:textId="332AEECE" w:rsidR="00C355DD" w:rsidRDefault="00D347BE" w:rsidP="009173AC">
            <w:r>
              <w:t>Treasurer’s Report</w:t>
            </w:r>
            <w:r w:rsidR="00AC0AD0">
              <w:t>/Budget</w:t>
            </w:r>
          </w:p>
          <w:p w14:paraId="4235C15E" w14:textId="0C73C7C4" w:rsidR="004D6A50" w:rsidRPr="00BE0C6B" w:rsidRDefault="00A60252" w:rsidP="00A60252">
            <w:r>
              <w:t>Overview of accounts</w:t>
            </w:r>
          </w:p>
        </w:tc>
        <w:tc>
          <w:tcPr>
            <w:tcW w:w="572" w:type="pct"/>
          </w:tcPr>
          <w:p w14:paraId="23481070" w14:textId="77777777" w:rsidR="00C355DD" w:rsidRDefault="00C355DD" w:rsidP="009173AC">
            <w:pPr>
              <w:rPr>
                <w:b/>
                <w:bCs/>
              </w:rPr>
            </w:pPr>
          </w:p>
          <w:p w14:paraId="2D678F7E" w14:textId="77777777" w:rsidR="00C355DD" w:rsidRDefault="00C355DD" w:rsidP="009173AC">
            <w:pPr>
              <w:rPr>
                <w:b/>
                <w:bCs/>
              </w:rPr>
            </w:pPr>
          </w:p>
          <w:p w14:paraId="50A7E186" w14:textId="77777777" w:rsidR="005A7908" w:rsidRDefault="005A7908" w:rsidP="009173AC">
            <w:pPr>
              <w:rPr>
                <w:b/>
                <w:bCs/>
              </w:rPr>
            </w:pPr>
          </w:p>
          <w:p w14:paraId="2829A773" w14:textId="5AD19810" w:rsidR="00AC0AD0" w:rsidRDefault="00AC0AD0" w:rsidP="009173AC">
            <w:pPr>
              <w:rPr>
                <w:b/>
                <w:bCs/>
              </w:rPr>
            </w:pPr>
          </w:p>
          <w:p w14:paraId="78F88DDE" w14:textId="1EC9939D" w:rsidR="00AC0AD0" w:rsidRPr="001E41F6" w:rsidRDefault="00AC0AD0" w:rsidP="009173AC">
            <w:pPr>
              <w:rPr>
                <w:b/>
                <w:bCs/>
              </w:rPr>
            </w:pPr>
          </w:p>
        </w:tc>
      </w:tr>
      <w:tr w:rsidR="00511CA0" w14:paraId="5A2B4986" w14:textId="77777777" w:rsidTr="002144A7">
        <w:trPr>
          <w:trHeight w:val="699"/>
        </w:trPr>
        <w:tc>
          <w:tcPr>
            <w:tcW w:w="910" w:type="pct"/>
          </w:tcPr>
          <w:p w14:paraId="03EFCD01" w14:textId="0005195F" w:rsidR="00511CA0" w:rsidRPr="004841C4" w:rsidRDefault="009E69C3" w:rsidP="00367CA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PCN Leads</w:t>
            </w:r>
          </w:p>
        </w:tc>
        <w:tc>
          <w:tcPr>
            <w:tcW w:w="3518" w:type="pct"/>
          </w:tcPr>
          <w:p w14:paraId="3A183B1E" w14:textId="4CA2B65B" w:rsidR="00815A86" w:rsidRPr="00AA7912" w:rsidRDefault="003273F8" w:rsidP="00417DEF">
            <w:pPr>
              <w:shd w:val="clear" w:color="auto" w:fill="FFFFFF"/>
              <w:spacing w:after="160" w:line="259" w:lineRule="auto"/>
              <w:rPr>
                <w:rFonts w:eastAsia="Times New Roman"/>
              </w:rPr>
            </w:pPr>
            <w:r w:rsidRPr="00AA7912">
              <w:rPr>
                <w:rFonts w:eastAsia="Times New Roman"/>
              </w:rPr>
              <w:t xml:space="preserve">NHSE </w:t>
            </w:r>
            <w:r w:rsidR="00CD2924" w:rsidRPr="00AA7912">
              <w:rPr>
                <w:rFonts w:eastAsia="Times New Roman"/>
              </w:rPr>
              <w:t>funding for PCN Leads</w:t>
            </w:r>
            <w:r w:rsidR="00815A86" w:rsidRPr="00AA7912">
              <w:rPr>
                <w:rFonts w:eastAsia="Times New Roman"/>
              </w:rPr>
              <w:t xml:space="preserve"> confirmed</w:t>
            </w:r>
            <w:r w:rsidR="00CD2924" w:rsidRPr="00AA7912">
              <w:rPr>
                <w:rFonts w:eastAsia="Times New Roman"/>
              </w:rPr>
              <w:t>. ICB have funding from NHSE</w:t>
            </w:r>
            <w:r w:rsidR="0087204D" w:rsidRPr="00AA7912">
              <w:rPr>
                <w:rFonts w:eastAsia="Times New Roman"/>
              </w:rPr>
              <w:t>, proposed 1 day per month back fill for Leads</w:t>
            </w:r>
            <w:r w:rsidR="000A2A09" w:rsidRPr="00AA7912">
              <w:rPr>
                <w:rFonts w:eastAsia="Times New Roman"/>
              </w:rPr>
              <w:t xml:space="preserve">. Conference dates </w:t>
            </w:r>
            <w:r w:rsidR="005751EF" w:rsidRPr="00AA7912">
              <w:rPr>
                <w:rFonts w:eastAsia="Times New Roman"/>
              </w:rPr>
              <w:t xml:space="preserve">confirmed </w:t>
            </w:r>
            <w:r w:rsidR="000A2A09" w:rsidRPr="00AA7912">
              <w:rPr>
                <w:rFonts w:eastAsia="Times New Roman"/>
              </w:rPr>
              <w:t>and leads encouraged to book places.</w:t>
            </w:r>
            <w:r w:rsidR="00815A86" w:rsidRPr="00AA7912">
              <w:rPr>
                <w:rFonts w:eastAsia="Times New Roman"/>
              </w:rPr>
              <w:t xml:space="preserve"> </w:t>
            </w:r>
            <w:proofErr w:type="spellStart"/>
            <w:r w:rsidR="00815A86" w:rsidRPr="00AA7912">
              <w:rPr>
                <w:rFonts w:eastAsia="Times New Roman"/>
              </w:rPr>
              <w:t>PharmOutcomes</w:t>
            </w:r>
            <w:proofErr w:type="spellEnd"/>
            <w:r w:rsidR="00815A86" w:rsidRPr="00AA7912">
              <w:rPr>
                <w:rFonts w:eastAsia="Times New Roman"/>
              </w:rPr>
              <w:t xml:space="preserve"> form </w:t>
            </w:r>
            <w:r w:rsidR="00C8400F" w:rsidRPr="00AA7912">
              <w:rPr>
                <w:rFonts w:eastAsia="Times New Roman"/>
              </w:rPr>
              <w:t>drafted</w:t>
            </w:r>
            <w:r w:rsidR="001D553C" w:rsidRPr="00AA7912">
              <w:rPr>
                <w:rFonts w:eastAsia="Times New Roman"/>
              </w:rPr>
              <w:t xml:space="preserve"> </w:t>
            </w:r>
            <w:r w:rsidR="004F71DD" w:rsidRPr="00AA7912">
              <w:rPr>
                <w:rFonts w:eastAsia="Times New Roman"/>
              </w:rPr>
              <w:t>for leads to report activity.</w:t>
            </w:r>
          </w:p>
          <w:p w14:paraId="66CBB966" w14:textId="2B0551F9" w:rsidR="000A2A09" w:rsidRPr="00AA7912" w:rsidRDefault="000A2A09" w:rsidP="00417DEF">
            <w:pPr>
              <w:shd w:val="clear" w:color="auto" w:fill="FFFFFF"/>
              <w:spacing w:after="160" w:line="259" w:lineRule="auto"/>
              <w:rPr>
                <w:rFonts w:eastAsia="Times New Roman"/>
              </w:rPr>
            </w:pPr>
            <w:r w:rsidRPr="00AA7912">
              <w:rPr>
                <w:rFonts w:eastAsia="Times New Roman"/>
              </w:rPr>
              <w:t xml:space="preserve">MM </w:t>
            </w:r>
            <w:r w:rsidR="00613B98" w:rsidRPr="00AA7912">
              <w:rPr>
                <w:rFonts w:eastAsia="Times New Roman"/>
              </w:rPr>
              <w:t>been offered role as PCN Leads Coach, job des</w:t>
            </w:r>
            <w:r w:rsidR="00815A86" w:rsidRPr="00AA7912">
              <w:rPr>
                <w:rFonts w:eastAsia="Times New Roman"/>
              </w:rPr>
              <w:t xml:space="preserve">cription </w:t>
            </w:r>
            <w:r w:rsidR="00613B98" w:rsidRPr="00AA7912">
              <w:rPr>
                <w:rFonts w:eastAsia="Times New Roman"/>
              </w:rPr>
              <w:t>and funding to be confirmed.</w:t>
            </w:r>
          </w:p>
          <w:p w14:paraId="4D0DC9A7" w14:textId="107B2094" w:rsidR="00C355DD" w:rsidRPr="00AA7912" w:rsidRDefault="00C355DD" w:rsidP="00417DEF">
            <w:pPr>
              <w:shd w:val="clear" w:color="auto" w:fill="FFFFFF"/>
              <w:spacing w:after="160" w:line="259" w:lineRule="auto"/>
              <w:rPr>
                <w:rFonts w:eastAsia="Times New Roman"/>
                <w:color w:val="FF0000"/>
              </w:rPr>
            </w:pPr>
          </w:p>
        </w:tc>
        <w:tc>
          <w:tcPr>
            <w:tcW w:w="572" w:type="pct"/>
          </w:tcPr>
          <w:p w14:paraId="5D64FDBD" w14:textId="77777777" w:rsidR="00417DEF" w:rsidRDefault="00417DEF" w:rsidP="004230B6">
            <w:pPr>
              <w:rPr>
                <w:b/>
                <w:bCs/>
              </w:rPr>
            </w:pPr>
          </w:p>
          <w:p w14:paraId="12A189AC" w14:textId="18FDFDC5" w:rsidR="00417DEF" w:rsidRPr="001E41F6" w:rsidRDefault="00417DEF" w:rsidP="004230B6">
            <w:pPr>
              <w:rPr>
                <w:b/>
                <w:bCs/>
              </w:rPr>
            </w:pPr>
          </w:p>
        </w:tc>
      </w:tr>
      <w:tr w:rsidR="00160881" w14:paraId="512D1ED6" w14:textId="77777777" w:rsidTr="002144A7">
        <w:trPr>
          <w:trHeight w:val="699"/>
        </w:trPr>
        <w:tc>
          <w:tcPr>
            <w:tcW w:w="910" w:type="pct"/>
          </w:tcPr>
          <w:p w14:paraId="2E4689C6" w14:textId="5969744C" w:rsidR="00160881" w:rsidRDefault="00160881" w:rsidP="00367CA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CPE</w:t>
            </w:r>
          </w:p>
        </w:tc>
        <w:tc>
          <w:tcPr>
            <w:tcW w:w="3518" w:type="pct"/>
          </w:tcPr>
          <w:p w14:paraId="52E9E578" w14:textId="7910D7EE" w:rsidR="00160881" w:rsidRPr="00AA7912" w:rsidRDefault="004F6D0E" w:rsidP="00417DEF">
            <w:pPr>
              <w:shd w:val="clear" w:color="auto" w:fill="FFFFFF"/>
              <w:rPr>
                <w:rFonts w:eastAsia="Times New Roman"/>
              </w:rPr>
            </w:pPr>
            <w:r w:rsidRPr="00AA7912">
              <w:rPr>
                <w:rFonts w:eastAsia="Times New Roman"/>
              </w:rPr>
              <w:t>Janet Morrison</w:t>
            </w:r>
            <w:r w:rsidR="0077754D" w:rsidRPr="00AA7912">
              <w:rPr>
                <w:rFonts w:eastAsia="Times New Roman"/>
              </w:rPr>
              <w:t xml:space="preserve"> CPE CEO – video </w:t>
            </w:r>
            <w:r w:rsidR="003301E4" w:rsidRPr="00AA7912">
              <w:rPr>
                <w:rFonts w:eastAsia="Times New Roman"/>
              </w:rPr>
              <w:t xml:space="preserve">– funding negotiations, upcoming services; common conditions delayed start Jan </w:t>
            </w:r>
            <w:r w:rsidR="009362E7" w:rsidRPr="00AA7912">
              <w:rPr>
                <w:rFonts w:eastAsia="Times New Roman"/>
              </w:rPr>
              <w:t>’</w:t>
            </w:r>
            <w:r w:rsidR="003301E4" w:rsidRPr="00AA7912">
              <w:rPr>
                <w:rFonts w:eastAsia="Times New Roman"/>
              </w:rPr>
              <w:t>2</w:t>
            </w:r>
            <w:r w:rsidR="009362E7" w:rsidRPr="00AA7912">
              <w:rPr>
                <w:rFonts w:eastAsia="Times New Roman"/>
              </w:rPr>
              <w:t>4, Contraception service.</w:t>
            </w:r>
          </w:p>
          <w:p w14:paraId="63203603" w14:textId="3544E3A2" w:rsidR="00DE4395" w:rsidRPr="00AA7912" w:rsidRDefault="00DE4395" w:rsidP="00417DEF">
            <w:pPr>
              <w:shd w:val="clear" w:color="auto" w:fill="FFFFFF"/>
              <w:rPr>
                <w:rFonts w:eastAsia="Times New Roman"/>
              </w:rPr>
            </w:pPr>
            <w:r w:rsidRPr="00AA7912">
              <w:rPr>
                <w:rFonts w:eastAsia="Times New Roman"/>
              </w:rPr>
              <w:t>Discussed price concessions</w:t>
            </w:r>
            <w:r w:rsidR="00AC4F30" w:rsidRPr="00AA7912">
              <w:rPr>
                <w:rFonts w:eastAsia="Times New Roman"/>
              </w:rPr>
              <w:t xml:space="preserve"> – wholesaler issues</w:t>
            </w:r>
            <w:r w:rsidR="009B41C5" w:rsidRPr="00AA7912">
              <w:rPr>
                <w:rFonts w:eastAsia="Times New Roman"/>
              </w:rPr>
              <w:t xml:space="preserve"> CPE should be negotiating with wholesalers.</w:t>
            </w:r>
            <w:r w:rsidR="00AC4F30" w:rsidRPr="00AA7912">
              <w:rPr>
                <w:rFonts w:eastAsia="Times New Roman"/>
              </w:rPr>
              <w:t xml:space="preserve"> CPG as</w:t>
            </w:r>
            <w:r w:rsidR="009B41C5" w:rsidRPr="00AA7912">
              <w:rPr>
                <w:rFonts w:eastAsia="Times New Roman"/>
              </w:rPr>
              <w:t>ks</w:t>
            </w:r>
            <w:r w:rsidR="00AC4F30" w:rsidRPr="00AA7912">
              <w:rPr>
                <w:rFonts w:eastAsia="Times New Roman"/>
              </w:rPr>
              <w:t xml:space="preserve"> RM to email </w:t>
            </w:r>
            <w:r w:rsidR="009B41C5" w:rsidRPr="00AA7912">
              <w:rPr>
                <w:rFonts w:eastAsia="Times New Roman"/>
              </w:rPr>
              <w:t xml:space="preserve">CPE </w:t>
            </w:r>
          </w:p>
        </w:tc>
        <w:tc>
          <w:tcPr>
            <w:tcW w:w="572" w:type="pct"/>
          </w:tcPr>
          <w:p w14:paraId="23B7407B" w14:textId="77777777" w:rsidR="00160881" w:rsidRPr="00AC4F30" w:rsidRDefault="00160881" w:rsidP="004230B6">
            <w:pPr>
              <w:rPr>
                <w:b/>
                <w:bCs/>
              </w:rPr>
            </w:pPr>
          </w:p>
          <w:p w14:paraId="65C4FD0F" w14:textId="0633C86D" w:rsidR="00160881" w:rsidRDefault="009B41C5" w:rsidP="004230B6">
            <w:pPr>
              <w:rPr>
                <w:b/>
                <w:bCs/>
              </w:rPr>
            </w:pPr>
            <w:r>
              <w:rPr>
                <w:b/>
                <w:bCs/>
              </w:rPr>
              <w:t>RM</w:t>
            </w:r>
          </w:p>
        </w:tc>
      </w:tr>
      <w:tr w:rsidR="00B10EC9" w14:paraId="045A4162" w14:textId="77777777" w:rsidTr="002144A7">
        <w:trPr>
          <w:trHeight w:val="699"/>
        </w:trPr>
        <w:tc>
          <w:tcPr>
            <w:tcW w:w="910" w:type="pct"/>
          </w:tcPr>
          <w:p w14:paraId="0C10F396" w14:textId="3553EE6A" w:rsidR="00B10EC9" w:rsidRDefault="00B87E43" w:rsidP="00367CA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Pfizer</w:t>
            </w:r>
          </w:p>
        </w:tc>
        <w:tc>
          <w:tcPr>
            <w:tcW w:w="3518" w:type="pct"/>
          </w:tcPr>
          <w:p w14:paraId="015D7EB6" w14:textId="4036FD17" w:rsidR="00313A5F" w:rsidRPr="00AA7912" w:rsidRDefault="00B87E43" w:rsidP="00417DEF">
            <w:pPr>
              <w:shd w:val="clear" w:color="auto" w:fill="FFFFFF"/>
              <w:rPr>
                <w:rFonts w:eastAsia="Times New Roman"/>
              </w:rPr>
            </w:pPr>
            <w:r w:rsidRPr="00AA7912">
              <w:rPr>
                <w:rFonts w:eastAsia="Times New Roman"/>
              </w:rPr>
              <w:t xml:space="preserve">Presentation on </w:t>
            </w:r>
            <w:r w:rsidR="006E3176" w:rsidRPr="00AA7912">
              <w:rPr>
                <w:rFonts w:eastAsia="Times New Roman"/>
              </w:rPr>
              <w:t>Migraine and Pax</w:t>
            </w:r>
            <w:r w:rsidR="008832E5" w:rsidRPr="00AA7912">
              <w:rPr>
                <w:rFonts w:eastAsia="Times New Roman"/>
              </w:rPr>
              <w:t>lovid</w:t>
            </w:r>
          </w:p>
        </w:tc>
        <w:tc>
          <w:tcPr>
            <w:tcW w:w="572" w:type="pct"/>
          </w:tcPr>
          <w:p w14:paraId="7AD2CEF3" w14:textId="77777777" w:rsidR="00B10EC9" w:rsidRDefault="00B10EC9" w:rsidP="004230B6">
            <w:pPr>
              <w:rPr>
                <w:b/>
                <w:bCs/>
              </w:rPr>
            </w:pPr>
          </w:p>
        </w:tc>
      </w:tr>
      <w:tr w:rsidR="00B62722" w14:paraId="0E7D4C3E" w14:textId="77777777" w:rsidTr="002144A7">
        <w:tc>
          <w:tcPr>
            <w:tcW w:w="910" w:type="pct"/>
          </w:tcPr>
          <w:p w14:paraId="6E2AB484" w14:textId="77777777" w:rsidR="00B62722" w:rsidRDefault="00FB5E3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Services</w:t>
            </w:r>
          </w:p>
        </w:tc>
        <w:tc>
          <w:tcPr>
            <w:tcW w:w="3518" w:type="pct"/>
          </w:tcPr>
          <w:p w14:paraId="4E14DCF0" w14:textId="3E3F4D7C" w:rsidR="002375DF" w:rsidRDefault="00313A5F" w:rsidP="00BC4D27">
            <w:r w:rsidRPr="004D6A50">
              <w:rPr>
                <w:b/>
                <w:bCs/>
              </w:rPr>
              <w:t>Flu</w:t>
            </w:r>
            <w:r>
              <w:t xml:space="preserve"> – </w:t>
            </w:r>
            <w:r w:rsidR="00254F36">
              <w:t>Vaccine arrived in Pharmacies.</w:t>
            </w:r>
          </w:p>
          <w:p w14:paraId="4E1071C7" w14:textId="3161FB30" w:rsidR="00C070D4" w:rsidRDefault="00313A5F" w:rsidP="00BC4D27">
            <w:r w:rsidRPr="004D6A50">
              <w:rPr>
                <w:b/>
                <w:bCs/>
              </w:rPr>
              <w:t>GCC Staff Flu</w:t>
            </w:r>
            <w:r>
              <w:t xml:space="preserve"> – </w:t>
            </w:r>
            <w:r w:rsidR="0078779C">
              <w:t>Contract variation waiting for sign off, SB to send out to EOI Pharmacies.</w:t>
            </w:r>
            <w:r w:rsidR="00357881">
              <w:t xml:space="preserve"> </w:t>
            </w:r>
            <w:r w:rsidR="00C070D4">
              <w:t>Only Contractors who have signed PHES in place can provide service.</w:t>
            </w:r>
          </w:p>
          <w:p w14:paraId="4B30539F" w14:textId="76220D94" w:rsidR="00357881" w:rsidRDefault="00357881" w:rsidP="00BC4D27">
            <w:r>
              <w:t>Fire Station Drive throughs provisionally booked, leadership</w:t>
            </w:r>
            <w:r w:rsidR="00F548F7">
              <w:t xml:space="preserve"> conf and quayside clinic </w:t>
            </w:r>
            <w:r w:rsidR="00F209E9">
              <w:t>requested by GCC.</w:t>
            </w:r>
          </w:p>
          <w:p w14:paraId="10B75A37" w14:textId="13FB2957" w:rsidR="00C070D4" w:rsidRDefault="00EA3A12" w:rsidP="005604C6">
            <w:r w:rsidRPr="004D6A50">
              <w:rPr>
                <w:b/>
                <w:bCs/>
              </w:rPr>
              <w:t>CPCS</w:t>
            </w:r>
            <w:r>
              <w:t xml:space="preserve"> – Rosebank, North Cots </w:t>
            </w:r>
            <w:r w:rsidR="00C070D4">
              <w:t>and South</w:t>
            </w:r>
            <w:r>
              <w:t xml:space="preserve"> Cots</w:t>
            </w:r>
            <w:r w:rsidR="005604C6">
              <w:t xml:space="preserve">, Severn Vale PCN’s </w:t>
            </w:r>
            <w:r w:rsidR="006F7D7F">
              <w:t>have been targeted</w:t>
            </w:r>
            <w:r w:rsidR="006A3A11">
              <w:t xml:space="preserve">. Initial data shows improved referrals from </w:t>
            </w:r>
            <w:r w:rsidR="006A3A11">
              <w:lastRenderedPageBreak/>
              <w:t xml:space="preserve">Surgeries that have had support. </w:t>
            </w:r>
            <w:r w:rsidR="00264A5F">
              <w:t xml:space="preserve">GB has seen no increased </w:t>
            </w:r>
            <w:r w:rsidR="00250D43">
              <w:t>referrals from Cotswolds. SB to escalate to ICB.</w:t>
            </w:r>
          </w:p>
          <w:p w14:paraId="341A1F8B" w14:textId="5827FA3A" w:rsidR="00EA3A12" w:rsidRDefault="00EA3A12" w:rsidP="00BC4D27">
            <w:r w:rsidRPr="004D6A50">
              <w:rPr>
                <w:b/>
                <w:bCs/>
              </w:rPr>
              <w:t xml:space="preserve">UTI </w:t>
            </w:r>
            <w:r>
              <w:t>providers – 26 Pharmacies on list.</w:t>
            </w:r>
          </w:p>
          <w:p w14:paraId="0F9C7AEC" w14:textId="1141EB2E" w:rsidR="008E642D" w:rsidRDefault="008E642D" w:rsidP="00BC4D27">
            <w:r w:rsidRPr="004D6A50">
              <w:rPr>
                <w:b/>
                <w:bCs/>
              </w:rPr>
              <w:t>Contraception Service</w:t>
            </w:r>
            <w:r>
              <w:t xml:space="preserve"> – CPG agreed not to push service until CPE have finalised funding discussions. CPG will support any Contractors wishing to provide service.</w:t>
            </w:r>
          </w:p>
          <w:p w14:paraId="65BDC136" w14:textId="12414422" w:rsidR="008E642D" w:rsidRDefault="008E642D" w:rsidP="00BC4D27">
            <w:r w:rsidRPr="004D6A50">
              <w:rPr>
                <w:b/>
                <w:bCs/>
              </w:rPr>
              <w:t>Common Conditions Service</w:t>
            </w:r>
            <w:r>
              <w:t xml:space="preserve"> –</w:t>
            </w:r>
            <w:r w:rsidR="00B6115A">
              <w:t xml:space="preserve"> delayed until Jan ’24.</w:t>
            </w:r>
          </w:p>
          <w:p w14:paraId="54D03E58" w14:textId="1A62BF15" w:rsidR="00B6115A" w:rsidRDefault="00835752" w:rsidP="00BC4D27">
            <w:r w:rsidRPr="004D6A50">
              <w:rPr>
                <w:b/>
                <w:bCs/>
              </w:rPr>
              <w:t>Hypertension</w:t>
            </w:r>
            <w:r w:rsidR="00B6115A" w:rsidRPr="004D6A50">
              <w:rPr>
                <w:b/>
                <w:bCs/>
              </w:rPr>
              <w:t xml:space="preserve"> Case Finding</w:t>
            </w:r>
            <w:r w:rsidR="00B6115A">
              <w:t xml:space="preserve"> </w:t>
            </w:r>
            <w:r w:rsidR="002A0709">
              <w:t>–</w:t>
            </w:r>
            <w:r w:rsidR="00B6115A">
              <w:t xml:space="preserve"> </w:t>
            </w:r>
            <w:r w:rsidR="002A0709">
              <w:t xml:space="preserve">lots of interest from surgeries, where to send referrals etc. SB to compile </w:t>
            </w:r>
            <w:r w:rsidR="002A6904">
              <w:t>list of Pharmacies by PCN.</w:t>
            </w:r>
          </w:p>
          <w:p w14:paraId="3EFEBD91" w14:textId="24E53C9F" w:rsidR="002A6904" w:rsidRDefault="002A6904" w:rsidP="00BC4D27">
            <w:r w:rsidRPr="004D6A50">
              <w:rPr>
                <w:b/>
                <w:bCs/>
              </w:rPr>
              <w:t>DMS</w:t>
            </w:r>
            <w:r>
              <w:t xml:space="preserve"> </w:t>
            </w:r>
            <w:r w:rsidR="00C01FC4">
              <w:t>–</w:t>
            </w:r>
            <w:r>
              <w:t xml:space="preserve"> </w:t>
            </w:r>
            <w:r w:rsidR="00C01FC4">
              <w:t>waiting for Hospital start up</w:t>
            </w:r>
            <w:r w:rsidR="00C400E6">
              <w:t>’</w:t>
            </w:r>
          </w:p>
          <w:p w14:paraId="60718171" w14:textId="09C81116" w:rsidR="00C400E6" w:rsidRDefault="00C400E6" w:rsidP="00BC4D27">
            <w:r w:rsidRPr="004D6A50">
              <w:rPr>
                <w:b/>
                <w:bCs/>
              </w:rPr>
              <w:t>Covid</w:t>
            </w:r>
            <w:r>
              <w:t xml:space="preserve"> – </w:t>
            </w:r>
            <w:r w:rsidR="00C6387C">
              <w:t>Log in i</w:t>
            </w:r>
            <w:r>
              <w:t xml:space="preserve">ssues with Pharmacies </w:t>
            </w:r>
            <w:r w:rsidR="00C6387C">
              <w:t>providing covid vaccines.</w:t>
            </w:r>
          </w:p>
          <w:p w14:paraId="61B585E7" w14:textId="66885E59" w:rsidR="00C6387C" w:rsidRDefault="00C6387C" w:rsidP="00BC4D27">
            <w:r>
              <w:t xml:space="preserve">RM to </w:t>
            </w:r>
            <w:r w:rsidR="00835752">
              <w:t>email NHSE</w:t>
            </w:r>
          </w:p>
          <w:p w14:paraId="538046F0" w14:textId="2C1B9045" w:rsidR="00313A5F" w:rsidRDefault="00313A5F" w:rsidP="00BC4D27"/>
        </w:tc>
        <w:tc>
          <w:tcPr>
            <w:tcW w:w="572" w:type="pct"/>
          </w:tcPr>
          <w:p w14:paraId="21584662" w14:textId="77777777" w:rsidR="002375DF" w:rsidRDefault="002375DF" w:rsidP="00313A5F">
            <w:pPr>
              <w:rPr>
                <w:b/>
                <w:bCs/>
              </w:rPr>
            </w:pPr>
          </w:p>
          <w:p w14:paraId="1A276D21" w14:textId="77777777" w:rsidR="00313A5F" w:rsidRDefault="00313A5F" w:rsidP="00313A5F">
            <w:pPr>
              <w:rPr>
                <w:b/>
                <w:bCs/>
              </w:rPr>
            </w:pPr>
          </w:p>
          <w:p w14:paraId="0695AB5B" w14:textId="77777777" w:rsidR="00313A5F" w:rsidRDefault="00313A5F" w:rsidP="00313A5F">
            <w:pPr>
              <w:rPr>
                <w:b/>
                <w:bCs/>
              </w:rPr>
            </w:pPr>
          </w:p>
          <w:p w14:paraId="1A83EE1A" w14:textId="77777777" w:rsidR="00313A5F" w:rsidRDefault="00313A5F" w:rsidP="00313A5F">
            <w:pPr>
              <w:rPr>
                <w:b/>
                <w:bCs/>
              </w:rPr>
            </w:pPr>
          </w:p>
          <w:p w14:paraId="32E4F075" w14:textId="77777777" w:rsidR="00313A5F" w:rsidRDefault="00313A5F" w:rsidP="00313A5F">
            <w:pPr>
              <w:rPr>
                <w:b/>
                <w:bCs/>
              </w:rPr>
            </w:pPr>
          </w:p>
          <w:p w14:paraId="003EA710" w14:textId="77777777" w:rsidR="00313A5F" w:rsidRDefault="00313A5F" w:rsidP="00313A5F">
            <w:pPr>
              <w:rPr>
                <w:b/>
                <w:bCs/>
              </w:rPr>
            </w:pPr>
          </w:p>
          <w:p w14:paraId="37676C56" w14:textId="77777777" w:rsidR="00313A5F" w:rsidRDefault="00313A5F" w:rsidP="00313A5F">
            <w:pPr>
              <w:rPr>
                <w:b/>
                <w:bCs/>
              </w:rPr>
            </w:pPr>
          </w:p>
          <w:p w14:paraId="31598F7B" w14:textId="77777777" w:rsidR="00313A5F" w:rsidRDefault="00313A5F" w:rsidP="00313A5F">
            <w:pPr>
              <w:rPr>
                <w:b/>
                <w:bCs/>
              </w:rPr>
            </w:pPr>
          </w:p>
          <w:p w14:paraId="248349DC" w14:textId="77777777" w:rsidR="00313A5F" w:rsidRDefault="00313A5F" w:rsidP="00313A5F">
            <w:pPr>
              <w:rPr>
                <w:b/>
                <w:bCs/>
              </w:rPr>
            </w:pPr>
          </w:p>
          <w:p w14:paraId="6B0926FF" w14:textId="77777777" w:rsidR="00C070D4" w:rsidRDefault="00C070D4" w:rsidP="00313A5F">
            <w:pPr>
              <w:rPr>
                <w:b/>
                <w:bCs/>
              </w:rPr>
            </w:pPr>
          </w:p>
          <w:p w14:paraId="3BC0AC8D" w14:textId="77777777" w:rsidR="00C070D4" w:rsidRDefault="00C070D4" w:rsidP="00313A5F">
            <w:pPr>
              <w:rPr>
                <w:b/>
                <w:bCs/>
              </w:rPr>
            </w:pPr>
          </w:p>
          <w:p w14:paraId="292890E6" w14:textId="77777777" w:rsidR="00313A5F" w:rsidRDefault="00313A5F" w:rsidP="00313A5F">
            <w:pPr>
              <w:rPr>
                <w:b/>
                <w:bCs/>
              </w:rPr>
            </w:pPr>
            <w:r>
              <w:rPr>
                <w:b/>
                <w:bCs/>
              </w:rPr>
              <w:t>SB</w:t>
            </w:r>
          </w:p>
          <w:p w14:paraId="2F346E26" w14:textId="77777777" w:rsidR="00835752" w:rsidRPr="00835752" w:rsidRDefault="00835752" w:rsidP="00835752"/>
          <w:p w14:paraId="05E20B47" w14:textId="77777777" w:rsidR="00835752" w:rsidRPr="00835752" w:rsidRDefault="00835752" w:rsidP="00835752"/>
          <w:p w14:paraId="1DCDB57C" w14:textId="77777777" w:rsidR="00835752" w:rsidRPr="00835752" w:rsidRDefault="00835752" w:rsidP="00835752"/>
          <w:p w14:paraId="6BAB1BD5" w14:textId="77777777" w:rsidR="00835752" w:rsidRDefault="00835752" w:rsidP="00835752">
            <w:pPr>
              <w:rPr>
                <w:b/>
                <w:bCs/>
              </w:rPr>
            </w:pPr>
          </w:p>
          <w:p w14:paraId="2173735E" w14:textId="77777777" w:rsidR="00835752" w:rsidRPr="00835752" w:rsidRDefault="00835752" w:rsidP="00835752"/>
          <w:p w14:paraId="3D9D9521" w14:textId="77777777" w:rsidR="00835752" w:rsidRDefault="00835752" w:rsidP="00835752">
            <w:pPr>
              <w:rPr>
                <w:b/>
                <w:bCs/>
              </w:rPr>
            </w:pPr>
          </w:p>
          <w:p w14:paraId="76BFBB59" w14:textId="77777777" w:rsidR="00835752" w:rsidRDefault="00835752" w:rsidP="00835752">
            <w:pPr>
              <w:rPr>
                <w:b/>
                <w:bCs/>
              </w:rPr>
            </w:pPr>
          </w:p>
          <w:p w14:paraId="7F44D3C6" w14:textId="2C207E4F" w:rsidR="00835752" w:rsidRPr="004D6A50" w:rsidRDefault="00835752" w:rsidP="00835752">
            <w:pPr>
              <w:rPr>
                <w:b/>
                <w:bCs/>
              </w:rPr>
            </w:pPr>
            <w:r w:rsidRPr="004D6A50">
              <w:rPr>
                <w:b/>
                <w:bCs/>
              </w:rPr>
              <w:t>RM</w:t>
            </w:r>
          </w:p>
        </w:tc>
      </w:tr>
      <w:tr w:rsidR="00184856" w14:paraId="589E70E7" w14:textId="77777777" w:rsidTr="002144A7">
        <w:tc>
          <w:tcPr>
            <w:tcW w:w="910" w:type="pct"/>
          </w:tcPr>
          <w:p w14:paraId="67D48217" w14:textId="727E3E31" w:rsidR="00184856" w:rsidRDefault="00AE07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Contracts</w:t>
            </w:r>
          </w:p>
        </w:tc>
        <w:tc>
          <w:tcPr>
            <w:tcW w:w="3518" w:type="pct"/>
          </w:tcPr>
          <w:p w14:paraId="77D66E93" w14:textId="77777777" w:rsidR="00EA3A12" w:rsidRDefault="006C706D">
            <w:r w:rsidRPr="006C706D">
              <w:t>Cinderford Pharmacy</w:t>
            </w:r>
            <w:r>
              <w:t xml:space="preserve"> change from core hours to supplementary</w:t>
            </w:r>
            <w:r w:rsidR="00ED6309">
              <w:t>. RM to email CPG not support.</w:t>
            </w:r>
          </w:p>
          <w:p w14:paraId="25383EE8" w14:textId="3A872320" w:rsidR="00ED6309" w:rsidRPr="00C409AF" w:rsidRDefault="00C409AF">
            <w:r>
              <w:t xml:space="preserve">PNA reviewed by GCC </w:t>
            </w:r>
            <w:r w:rsidR="001176FA">
              <w:t>– no changes, Lloyds change of ownerships reviewed and updated.</w:t>
            </w:r>
          </w:p>
        </w:tc>
        <w:tc>
          <w:tcPr>
            <w:tcW w:w="572" w:type="pct"/>
          </w:tcPr>
          <w:p w14:paraId="4F5949C6" w14:textId="6C88F45C" w:rsidR="00E37EFF" w:rsidRPr="00ED6309" w:rsidRDefault="00ED6309">
            <w:pPr>
              <w:rPr>
                <w:b/>
                <w:bCs/>
              </w:rPr>
            </w:pPr>
            <w:r w:rsidRPr="00ED6309">
              <w:rPr>
                <w:b/>
                <w:bCs/>
              </w:rPr>
              <w:t>RM</w:t>
            </w:r>
          </w:p>
          <w:p w14:paraId="5C483176" w14:textId="18897D25" w:rsidR="00E37EFF" w:rsidRPr="005B0006" w:rsidRDefault="00E37EFF">
            <w:pPr>
              <w:rPr>
                <w:b/>
                <w:bCs/>
              </w:rPr>
            </w:pPr>
          </w:p>
        </w:tc>
      </w:tr>
      <w:tr w:rsidR="00511CA0" w14:paraId="3B334243" w14:textId="77777777" w:rsidTr="002144A7">
        <w:tc>
          <w:tcPr>
            <w:tcW w:w="910" w:type="pct"/>
          </w:tcPr>
          <w:p w14:paraId="484BF525" w14:textId="7AFAE4B5" w:rsidR="00511CA0" w:rsidRDefault="001176F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AGM</w:t>
            </w:r>
          </w:p>
        </w:tc>
        <w:tc>
          <w:tcPr>
            <w:tcW w:w="3518" w:type="pct"/>
          </w:tcPr>
          <w:p w14:paraId="667D30EE" w14:textId="77777777" w:rsidR="00F317A9" w:rsidRDefault="002B6294" w:rsidP="00A3608B">
            <w:r>
              <w:t>Start 14.00</w:t>
            </w:r>
          </w:p>
          <w:p w14:paraId="1E4C3BCE" w14:textId="2CE27EEC" w:rsidR="002B6294" w:rsidRDefault="002B6294" w:rsidP="00A3608B">
            <w:pPr>
              <w:rPr>
                <w:color w:val="FF0000"/>
              </w:rPr>
            </w:pPr>
            <w:r>
              <w:t>WP – Financial report</w:t>
            </w:r>
            <w:r w:rsidR="004841D0">
              <w:t xml:space="preserve"> – Comment</w:t>
            </w:r>
            <w:r w:rsidR="00665FC0">
              <w:t>s</w:t>
            </w:r>
            <w:r w:rsidR="0050623B">
              <w:t xml:space="preserve"> - </w:t>
            </w:r>
            <w:r w:rsidR="00665FC0">
              <w:t xml:space="preserve"> Boots asked </w:t>
            </w:r>
            <w:r w:rsidR="007E3C9E">
              <w:t>return of reserved funds</w:t>
            </w:r>
            <w:r w:rsidR="00692060">
              <w:t xml:space="preserve"> to contractors</w:t>
            </w:r>
            <w:r w:rsidR="0050623B">
              <w:t xml:space="preserve">? </w:t>
            </w:r>
            <w:r w:rsidR="002F7C05">
              <w:t xml:space="preserve">CPG agree to keep reserves </w:t>
            </w:r>
            <w:r w:rsidR="003F68E6">
              <w:t>to cover increasing costs.</w:t>
            </w:r>
          </w:p>
          <w:p w14:paraId="38068AD4" w14:textId="77777777" w:rsidR="009C1C34" w:rsidRPr="006F632B" w:rsidRDefault="00595FB8" w:rsidP="00A3608B">
            <w:r w:rsidRPr="006F632B">
              <w:t>Voting resolutions</w:t>
            </w:r>
          </w:p>
          <w:p w14:paraId="1D14FE9F" w14:textId="77777777" w:rsidR="00595FB8" w:rsidRPr="006F632B" w:rsidRDefault="00595FB8" w:rsidP="00A3608B">
            <w:r w:rsidRPr="006F632B">
              <w:t>Proposed by NJ</w:t>
            </w:r>
          </w:p>
          <w:p w14:paraId="2D855E64" w14:textId="77777777" w:rsidR="00595FB8" w:rsidRPr="006F632B" w:rsidRDefault="00595FB8" w:rsidP="00A3608B">
            <w:r w:rsidRPr="006F632B">
              <w:t>Seconded by VA</w:t>
            </w:r>
          </w:p>
          <w:p w14:paraId="2CBC3860" w14:textId="541E109C" w:rsidR="00595FB8" w:rsidRPr="006F632B" w:rsidRDefault="00595FB8" w:rsidP="00A3608B">
            <w:r w:rsidRPr="006F632B">
              <w:t>Votes in favour – unanimous</w:t>
            </w:r>
          </w:p>
          <w:p w14:paraId="505F51C6" w14:textId="7975A932" w:rsidR="00595FB8" w:rsidRPr="009C1C34" w:rsidRDefault="006F632B" w:rsidP="00A3608B">
            <w:pPr>
              <w:rPr>
                <w:color w:val="FF0000"/>
              </w:rPr>
            </w:pPr>
            <w:r w:rsidRPr="006F632B">
              <w:t>Close AGM 14.05</w:t>
            </w:r>
          </w:p>
        </w:tc>
        <w:tc>
          <w:tcPr>
            <w:tcW w:w="572" w:type="pct"/>
          </w:tcPr>
          <w:p w14:paraId="3209C0B9" w14:textId="5E0078AE" w:rsidR="00486EC9" w:rsidRPr="001E41F6" w:rsidRDefault="00486EC9" w:rsidP="00A3608B">
            <w:pPr>
              <w:rPr>
                <w:b/>
                <w:bCs/>
              </w:rPr>
            </w:pPr>
          </w:p>
        </w:tc>
      </w:tr>
      <w:tr w:rsidR="006F632B" w14:paraId="0546D960" w14:textId="77777777" w:rsidTr="002144A7">
        <w:tc>
          <w:tcPr>
            <w:tcW w:w="910" w:type="pct"/>
          </w:tcPr>
          <w:p w14:paraId="11B0E4CD" w14:textId="3C017734" w:rsidR="006F632B" w:rsidRDefault="006F632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Cheltenham PCN</w:t>
            </w:r>
          </w:p>
        </w:tc>
        <w:tc>
          <w:tcPr>
            <w:tcW w:w="3518" w:type="pct"/>
          </w:tcPr>
          <w:p w14:paraId="51CA08B9" w14:textId="77777777" w:rsidR="006F632B" w:rsidRDefault="00F25EC6" w:rsidP="00A3608B">
            <w:r>
              <w:t>Bev, Aitzol and Grace</w:t>
            </w:r>
            <w:r w:rsidR="001D7F01">
              <w:t xml:space="preserve"> (PCN Clinical Pharmacists)</w:t>
            </w:r>
            <w:r>
              <w:t xml:space="preserve"> introd</w:t>
            </w:r>
            <w:r w:rsidR="00222731">
              <w:t>uctions.</w:t>
            </w:r>
          </w:p>
          <w:p w14:paraId="0149A4AE" w14:textId="786CADC0" w:rsidR="00222731" w:rsidRDefault="00222731" w:rsidP="00A3608B">
            <w:r>
              <w:t xml:space="preserve">Discussed collaborative working for CPCS, Hypertension </w:t>
            </w:r>
            <w:r w:rsidR="00F065ED">
              <w:t>referrals</w:t>
            </w:r>
            <w:r w:rsidR="00195BE6">
              <w:t xml:space="preserve">. </w:t>
            </w:r>
            <w:r w:rsidR="009C0762">
              <w:t>Questions to Community Pharmacy –</w:t>
            </w:r>
          </w:p>
          <w:p w14:paraId="48C9089F" w14:textId="77777777" w:rsidR="009C0762" w:rsidRDefault="009C0762" w:rsidP="00A3608B">
            <w:r>
              <w:t>How do you prefer</w:t>
            </w:r>
            <w:r w:rsidR="0007029F">
              <w:t xml:space="preserve"> Hypertension</w:t>
            </w:r>
            <w:r>
              <w:t xml:space="preserve"> </w:t>
            </w:r>
            <w:r w:rsidR="0007029F">
              <w:t>referrals?</w:t>
            </w:r>
          </w:p>
          <w:p w14:paraId="463C9B2F" w14:textId="211953E2" w:rsidR="0007029F" w:rsidRDefault="0007029F" w:rsidP="00A3608B">
            <w:r>
              <w:t xml:space="preserve">AL </w:t>
            </w:r>
            <w:r w:rsidR="00E458E2">
              <w:t>–</w:t>
            </w:r>
            <w:r>
              <w:t xml:space="preserve"> </w:t>
            </w:r>
            <w:r w:rsidR="00E458E2">
              <w:t>would rather select patients in Pharmacy than have referrals.</w:t>
            </w:r>
            <w:r w:rsidR="00540734">
              <w:t xml:space="preserve"> Higher percentage of HBP has been found in </w:t>
            </w:r>
            <w:r w:rsidR="003F68E6">
              <w:t>Ad hoc</w:t>
            </w:r>
            <w:r w:rsidR="00540734">
              <w:t xml:space="preserve"> </w:t>
            </w:r>
            <w:r w:rsidR="00F60731">
              <w:t>opportunities</w:t>
            </w:r>
            <w:r w:rsidR="00C14F3A">
              <w:t>.</w:t>
            </w:r>
            <w:r w:rsidR="00E458E2">
              <w:t xml:space="preserve"> SS</w:t>
            </w:r>
            <w:r w:rsidR="00C14F3A">
              <w:t xml:space="preserve"> -</w:t>
            </w:r>
            <w:r w:rsidR="00E458E2">
              <w:t xml:space="preserve"> Boots have found biggest success </w:t>
            </w:r>
            <w:r w:rsidR="00084F75">
              <w:t>for Hypertension Service has been in shopping centres and retail park stores.</w:t>
            </w:r>
            <w:r w:rsidR="00C22CE2">
              <w:t xml:space="preserve"> BB asked for list of </w:t>
            </w:r>
            <w:r w:rsidR="00D6481D">
              <w:t xml:space="preserve">Pharmacies in Cheltenham who </w:t>
            </w:r>
            <w:r w:rsidR="0085185C">
              <w:t xml:space="preserve">have ABPM and </w:t>
            </w:r>
            <w:r w:rsidR="00D6481D">
              <w:t>will accept referrals from Surgeries SB to provide.</w:t>
            </w:r>
          </w:p>
          <w:p w14:paraId="39FC90FD" w14:textId="77777777" w:rsidR="00D6481D" w:rsidRDefault="00BF24CB" w:rsidP="00A3608B">
            <w:r w:rsidRPr="00BF24CB">
              <w:t xml:space="preserve">GP </w:t>
            </w:r>
            <w:r w:rsidR="00D6481D" w:rsidRPr="00BF24CB">
              <w:t>C</w:t>
            </w:r>
            <w:r w:rsidR="0085185C" w:rsidRPr="00BF24CB">
              <w:t>PCS constraints</w:t>
            </w:r>
            <w:r w:rsidRPr="00BF24CB">
              <w:t xml:space="preserve"> – SB suggested r</w:t>
            </w:r>
            <w:r>
              <w:t xml:space="preserve">eception staff confidence and </w:t>
            </w:r>
            <w:r w:rsidR="00031DED">
              <w:t>expectations that patients do not return to surgery</w:t>
            </w:r>
            <w:r w:rsidR="0080395E">
              <w:t xml:space="preserve">, when </w:t>
            </w:r>
            <w:r w:rsidR="007D4BBD">
              <w:t>explained more understanding of service and pathways.</w:t>
            </w:r>
          </w:p>
          <w:p w14:paraId="4A464186" w14:textId="297FD7EB" w:rsidR="00094ADE" w:rsidRPr="00BF24CB" w:rsidRDefault="00094ADE" w:rsidP="00A3608B">
            <w:r>
              <w:t xml:space="preserve">PCN Collaborative meetings </w:t>
            </w:r>
            <w:r w:rsidR="00227096">
              <w:t xml:space="preserve">works well, opportunity for all parties to discuss issues and </w:t>
            </w:r>
            <w:r w:rsidR="0076009C">
              <w:t>resolve myths.</w:t>
            </w:r>
          </w:p>
        </w:tc>
        <w:tc>
          <w:tcPr>
            <w:tcW w:w="572" w:type="pct"/>
          </w:tcPr>
          <w:p w14:paraId="503AB454" w14:textId="77777777" w:rsidR="006F632B" w:rsidRPr="00BF24CB" w:rsidRDefault="006F632B" w:rsidP="00A3608B">
            <w:pPr>
              <w:rPr>
                <w:b/>
                <w:bCs/>
              </w:rPr>
            </w:pPr>
          </w:p>
          <w:p w14:paraId="5D9F99F3" w14:textId="77777777" w:rsidR="00D6481D" w:rsidRPr="00BF24CB" w:rsidRDefault="00D6481D" w:rsidP="00A3608B">
            <w:pPr>
              <w:rPr>
                <w:b/>
                <w:bCs/>
              </w:rPr>
            </w:pPr>
          </w:p>
          <w:p w14:paraId="4BC009A3" w14:textId="77777777" w:rsidR="00D6481D" w:rsidRPr="00BF24CB" w:rsidRDefault="00D6481D" w:rsidP="00A3608B">
            <w:pPr>
              <w:rPr>
                <w:b/>
                <w:bCs/>
              </w:rPr>
            </w:pPr>
          </w:p>
          <w:p w14:paraId="765394FB" w14:textId="77777777" w:rsidR="00D6481D" w:rsidRPr="00BF24CB" w:rsidRDefault="00D6481D" w:rsidP="00A3608B">
            <w:pPr>
              <w:rPr>
                <w:b/>
                <w:bCs/>
              </w:rPr>
            </w:pPr>
          </w:p>
          <w:p w14:paraId="069071A6" w14:textId="77777777" w:rsidR="00D6481D" w:rsidRPr="00BF24CB" w:rsidRDefault="00D6481D" w:rsidP="00A3608B">
            <w:pPr>
              <w:rPr>
                <w:b/>
                <w:bCs/>
              </w:rPr>
            </w:pPr>
          </w:p>
          <w:p w14:paraId="24FA7005" w14:textId="77777777" w:rsidR="00D6481D" w:rsidRPr="00BF24CB" w:rsidRDefault="00D6481D" w:rsidP="00A3608B">
            <w:pPr>
              <w:rPr>
                <w:b/>
                <w:bCs/>
              </w:rPr>
            </w:pPr>
          </w:p>
          <w:p w14:paraId="6F809653" w14:textId="77777777" w:rsidR="00D6481D" w:rsidRPr="00BF24CB" w:rsidRDefault="00D6481D" w:rsidP="00A3608B">
            <w:pPr>
              <w:rPr>
                <w:b/>
                <w:bCs/>
              </w:rPr>
            </w:pPr>
          </w:p>
          <w:p w14:paraId="1B8CCEC3" w14:textId="77777777" w:rsidR="00D6481D" w:rsidRPr="00BF24CB" w:rsidRDefault="00D6481D" w:rsidP="00A3608B">
            <w:pPr>
              <w:rPr>
                <w:b/>
                <w:bCs/>
              </w:rPr>
            </w:pPr>
          </w:p>
          <w:p w14:paraId="7A304CE5" w14:textId="77777777" w:rsidR="00D6481D" w:rsidRPr="00BF24CB" w:rsidRDefault="00D6481D" w:rsidP="00A3608B">
            <w:pPr>
              <w:rPr>
                <w:b/>
                <w:bCs/>
              </w:rPr>
            </w:pPr>
          </w:p>
          <w:p w14:paraId="044C7C3D" w14:textId="4E48A2C7" w:rsidR="00D6481D" w:rsidRPr="001E41F6" w:rsidRDefault="00D6481D" w:rsidP="00A3608B">
            <w:pPr>
              <w:rPr>
                <w:b/>
                <w:bCs/>
              </w:rPr>
            </w:pPr>
            <w:r>
              <w:rPr>
                <w:b/>
                <w:bCs/>
              </w:rPr>
              <w:t>SB</w:t>
            </w:r>
          </w:p>
        </w:tc>
      </w:tr>
      <w:tr w:rsidR="0076009C" w:rsidRPr="0076431A" w14:paraId="69FC8C31" w14:textId="77777777" w:rsidTr="002144A7">
        <w:tc>
          <w:tcPr>
            <w:tcW w:w="910" w:type="pct"/>
          </w:tcPr>
          <w:p w14:paraId="08B64BFA" w14:textId="69F682CD" w:rsidR="0076009C" w:rsidRDefault="0076009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ICB</w:t>
            </w:r>
          </w:p>
        </w:tc>
        <w:tc>
          <w:tcPr>
            <w:tcW w:w="3518" w:type="pct"/>
          </w:tcPr>
          <w:p w14:paraId="354B7B7E" w14:textId="77777777" w:rsidR="006C3A3F" w:rsidRPr="002144A7" w:rsidRDefault="00660374" w:rsidP="00A3608B">
            <w:r>
              <w:t xml:space="preserve">Pathfinder </w:t>
            </w:r>
            <w:r w:rsidR="006C3A3F">
              <w:t xml:space="preserve">- </w:t>
            </w:r>
            <w:r>
              <w:t xml:space="preserve">webinar discussed. </w:t>
            </w:r>
            <w:r w:rsidRPr="002144A7">
              <w:t>Initial EOI’s in Novembe</w:t>
            </w:r>
            <w:r w:rsidR="0076431A" w:rsidRPr="002144A7">
              <w:t xml:space="preserve">r. </w:t>
            </w:r>
          </w:p>
          <w:p w14:paraId="69EB87F5" w14:textId="02CDD07F" w:rsidR="0076009C" w:rsidRDefault="0076431A" w:rsidP="00A3608B">
            <w:r w:rsidRPr="0076431A">
              <w:t xml:space="preserve">DMS </w:t>
            </w:r>
            <w:r w:rsidR="006C3A3F">
              <w:t xml:space="preserve">- </w:t>
            </w:r>
            <w:r w:rsidR="00E824A3" w:rsidRPr="0076431A">
              <w:t>startup</w:t>
            </w:r>
            <w:r w:rsidRPr="0076431A">
              <w:t xml:space="preserve"> of </w:t>
            </w:r>
            <w:r>
              <w:t>referrals into CP, tests are being done atm.</w:t>
            </w:r>
            <w:r w:rsidR="00DD2774">
              <w:t xml:space="preserve"> UTI PGD </w:t>
            </w:r>
            <w:r w:rsidR="0067191D">
              <w:t>–</w:t>
            </w:r>
            <w:r w:rsidR="00DD2774">
              <w:t xml:space="preserve"> </w:t>
            </w:r>
            <w:r w:rsidR="0067191D">
              <w:t xml:space="preserve">Disapointing CP sign ups. RM suggested a walk in service would </w:t>
            </w:r>
            <w:r w:rsidR="00F6634E">
              <w:t>help with locality spread and uptake.</w:t>
            </w:r>
          </w:p>
          <w:p w14:paraId="548D768F" w14:textId="63D6817F" w:rsidR="00F6634E" w:rsidRPr="0076431A" w:rsidRDefault="00F6634E" w:rsidP="00A3608B">
            <w:r>
              <w:t>SB to provide list of referral gaps, analysis of data</w:t>
            </w:r>
          </w:p>
        </w:tc>
        <w:tc>
          <w:tcPr>
            <w:tcW w:w="572" w:type="pct"/>
          </w:tcPr>
          <w:p w14:paraId="35BD75FA" w14:textId="77777777" w:rsidR="0076009C" w:rsidRDefault="0076009C" w:rsidP="00A3608B">
            <w:pPr>
              <w:rPr>
                <w:b/>
                <w:bCs/>
              </w:rPr>
            </w:pPr>
          </w:p>
          <w:p w14:paraId="50B12F17" w14:textId="77777777" w:rsidR="00F6634E" w:rsidRDefault="00F6634E" w:rsidP="00A3608B">
            <w:pPr>
              <w:rPr>
                <w:b/>
                <w:bCs/>
              </w:rPr>
            </w:pPr>
          </w:p>
          <w:p w14:paraId="1A129091" w14:textId="77777777" w:rsidR="00F6634E" w:rsidRDefault="00F6634E" w:rsidP="00A3608B">
            <w:pPr>
              <w:rPr>
                <w:b/>
                <w:bCs/>
              </w:rPr>
            </w:pPr>
          </w:p>
          <w:p w14:paraId="32CB2D50" w14:textId="77777777" w:rsidR="00F6634E" w:rsidRDefault="00F6634E" w:rsidP="00A3608B">
            <w:pPr>
              <w:rPr>
                <w:b/>
                <w:bCs/>
              </w:rPr>
            </w:pPr>
          </w:p>
          <w:p w14:paraId="218218C7" w14:textId="77777777" w:rsidR="003F68E6" w:rsidRDefault="003F68E6" w:rsidP="00A3608B">
            <w:pPr>
              <w:rPr>
                <w:b/>
                <w:bCs/>
              </w:rPr>
            </w:pPr>
          </w:p>
          <w:p w14:paraId="102E3297" w14:textId="77777777" w:rsidR="003F68E6" w:rsidRDefault="003F68E6" w:rsidP="00A3608B">
            <w:pPr>
              <w:rPr>
                <w:b/>
                <w:bCs/>
              </w:rPr>
            </w:pPr>
          </w:p>
          <w:p w14:paraId="520A2364" w14:textId="16FD5839" w:rsidR="00F6634E" w:rsidRPr="0076431A" w:rsidRDefault="00F6634E" w:rsidP="00A3608B">
            <w:pPr>
              <w:rPr>
                <w:b/>
                <w:bCs/>
              </w:rPr>
            </w:pPr>
            <w:r>
              <w:rPr>
                <w:b/>
                <w:bCs/>
              </w:rPr>
              <w:t>SB</w:t>
            </w:r>
          </w:p>
        </w:tc>
      </w:tr>
      <w:tr w:rsidR="00511CA0" w14:paraId="56687CD7" w14:textId="77777777" w:rsidTr="002144A7">
        <w:tc>
          <w:tcPr>
            <w:tcW w:w="910" w:type="pct"/>
          </w:tcPr>
          <w:p w14:paraId="3881E200" w14:textId="77777777" w:rsidR="00511CA0" w:rsidRPr="00E824A3" w:rsidRDefault="00511CA0">
            <w:pPr>
              <w:rPr>
                <w:u w:val="single"/>
              </w:rPr>
            </w:pPr>
            <w:r w:rsidRPr="00E824A3">
              <w:rPr>
                <w:u w:val="single"/>
              </w:rPr>
              <w:t>Meeting Dates</w:t>
            </w:r>
          </w:p>
        </w:tc>
        <w:tc>
          <w:tcPr>
            <w:tcW w:w="3518" w:type="pct"/>
          </w:tcPr>
          <w:p w14:paraId="69C7F5C9" w14:textId="23619C4C" w:rsidR="00616832" w:rsidRDefault="00511CA0">
            <w:r>
              <w:t>N</w:t>
            </w:r>
            <w:r w:rsidR="004D6A50">
              <w:t xml:space="preserve">ext meeting - </w:t>
            </w:r>
            <w:r w:rsidR="00486EC9">
              <w:t xml:space="preserve"> Nov 9</w:t>
            </w:r>
            <w:r w:rsidR="00486EC9" w:rsidRPr="00486EC9">
              <w:rPr>
                <w:vertAlign w:val="superscript"/>
              </w:rPr>
              <w:t>th</w:t>
            </w:r>
            <w:r w:rsidR="00486EC9">
              <w:t xml:space="preserve"> </w:t>
            </w:r>
            <w:r w:rsidR="00F317A9">
              <w:t>2023</w:t>
            </w:r>
            <w:r w:rsidR="004D6A50">
              <w:t xml:space="preserve"> </w:t>
            </w:r>
            <w:proofErr w:type="spellStart"/>
            <w:r w:rsidR="004D6A50">
              <w:t>Puckrup</w:t>
            </w:r>
            <w:proofErr w:type="spellEnd"/>
            <w:r w:rsidR="004D6A50">
              <w:t xml:space="preserve"> Hall, </w:t>
            </w:r>
            <w:proofErr w:type="spellStart"/>
            <w:r w:rsidR="004D6A50">
              <w:t>Tewks</w:t>
            </w:r>
            <w:proofErr w:type="spellEnd"/>
            <w:r w:rsidR="004D6A50">
              <w:t>.</w:t>
            </w:r>
          </w:p>
        </w:tc>
        <w:tc>
          <w:tcPr>
            <w:tcW w:w="572" w:type="pct"/>
          </w:tcPr>
          <w:p w14:paraId="372D0D6A" w14:textId="77777777" w:rsidR="00511CA0" w:rsidRDefault="00511CA0"/>
        </w:tc>
      </w:tr>
    </w:tbl>
    <w:p w14:paraId="6DE25B12" w14:textId="77777777" w:rsidR="00E824A3" w:rsidRDefault="00E824A3"/>
    <w:sectPr w:rsidR="00E8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C87"/>
    <w:multiLevelType w:val="hybridMultilevel"/>
    <w:tmpl w:val="56E03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E5F"/>
    <w:multiLevelType w:val="hybridMultilevel"/>
    <w:tmpl w:val="0814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30E4"/>
    <w:multiLevelType w:val="hybridMultilevel"/>
    <w:tmpl w:val="B5E4A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AD8"/>
    <w:multiLevelType w:val="hybridMultilevel"/>
    <w:tmpl w:val="DCBA5F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C346D"/>
    <w:multiLevelType w:val="hybridMultilevel"/>
    <w:tmpl w:val="F36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B87"/>
    <w:multiLevelType w:val="hybridMultilevel"/>
    <w:tmpl w:val="037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72A0"/>
    <w:multiLevelType w:val="hybridMultilevel"/>
    <w:tmpl w:val="7560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51D"/>
    <w:multiLevelType w:val="hybridMultilevel"/>
    <w:tmpl w:val="B030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175F7"/>
    <w:multiLevelType w:val="hybridMultilevel"/>
    <w:tmpl w:val="41829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32A3"/>
    <w:multiLevelType w:val="hybridMultilevel"/>
    <w:tmpl w:val="327C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533E"/>
    <w:multiLevelType w:val="hybridMultilevel"/>
    <w:tmpl w:val="86A27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492547"/>
    <w:multiLevelType w:val="hybridMultilevel"/>
    <w:tmpl w:val="A5F670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32EA9"/>
    <w:multiLevelType w:val="hybridMultilevel"/>
    <w:tmpl w:val="9FBEB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631975">
    <w:abstractNumId w:val="4"/>
  </w:num>
  <w:num w:numId="2" w16cid:durableId="1082872001">
    <w:abstractNumId w:val="9"/>
  </w:num>
  <w:num w:numId="3" w16cid:durableId="1095521659">
    <w:abstractNumId w:val="10"/>
  </w:num>
  <w:num w:numId="4" w16cid:durableId="1804155665">
    <w:abstractNumId w:val="8"/>
  </w:num>
  <w:num w:numId="5" w16cid:durableId="668605012">
    <w:abstractNumId w:val="5"/>
  </w:num>
  <w:num w:numId="6" w16cid:durableId="1949775312">
    <w:abstractNumId w:val="2"/>
  </w:num>
  <w:num w:numId="7" w16cid:durableId="1306741257">
    <w:abstractNumId w:val="0"/>
  </w:num>
  <w:num w:numId="8" w16cid:durableId="47730341">
    <w:abstractNumId w:val="11"/>
  </w:num>
  <w:num w:numId="9" w16cid:durableId="165755635">
    <w:abstractNumId w:val="3"/>
  </w:num>
  <w:num w:numId="10" w16cid:durableId="1923416904">
    <w:abstractNumId w:val="12"/>
  </w:num>
  <w:num w:numId="11" w16cid:durableId="596981085">
    <w:abstractNumId w:val="7"/>
  </w:num>
  <w:num w:numId="12" w16cid:durableId="284624325">
    <w:abstractNumId w:val="6"/>
  </w:num>
  <w:num w:numId="13" w16cid:durableId="403454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3D"/>
    <w:rsid w:val="00015915"/>
    <w:rsid w:val="00020CD6"/>
    <w:rsid w:val="00023054"/>
    <w:rsid w:val="00031DED"/>
    <w:rsid w:val="00043F59"/>
    <w:rsid w:val="00046C09"/>
    <w:rsid w:val="0006267A"/>
    <w:rsid w:val="0006413C"/>
    <w:rsid w:val="00064FE4"/>
    <w:rsid w:val="0007029F"/>
    <w:rsid w:val="000842E2"/>
    <w:rsid w:val="00084F75"/>
    <w:rsid w:val="000940DC"/>
    <w:rsid w:val="00094ADE"/>
    <w:rsid w:val="000A2A09"/>
    <w:rsid w:val="000A7B3D"/>
    <w:rsid w:val="000B16DC"/>
    <w:rsid w:val="000B200F"/>
    <w:rsid w:val="000B5CFE"/>
    <w:rsid w:val="000D462A"/>
    <w:rsid w:val="000D5981"/>
    <w:rsid w:val="000D7F71"/>
    <w:rsid w:val="001110D0"/>
    <w:rsid w:val="001176FA"/>
    <w:rsid w:val="001337C4"/>
    <w:rsid w:val="001371C1"/>
    <w:rsid w:val="0015212E"/>
    <w:rsid w:val="00152CF5"/>
    <w:rsid w:val="00160881"/>
    <w:rsid w:val="00166B81"/>
    <w:rsid w:val="0016726F"/>
    <w:rsid w:val="00175174"/>
    <w:rsid w:val="00176078"/>
    <w:rsid w:val="00177BF9"/>
    <w:rsid w:val="00184856"/>
    <w:rsid w:val="00192D6D"/>
    <w:rsid w:val="00195BE6"/>
    <w:rsid w:val="001A1E7B"/>
    <w:rsid w:val="001A2A2B"/>
    <w:rsid w:val="001A37AC"/>
    <w:rsid w:val="001A3D2A"/>
    <w:rsid w:val="001B143D"/>
    <w:rsid w:val="001C412C"/>
    <w:rsid w:val="001D0954"/>
    <w:rsid w:val="001D1266"/>
    <w:rsid w:val="001D553C"/>
    <w:rsid w:val="001D7F01"/>
    <w:rsid w:val="001E41F6"/>
    <w:rsid w:val="001F1220"/>
    <w:rsid w:val="001F1BC1"/>
    <w:rsid w:val="002144A7"/>
    <w:rsid w:val="00222731"/>
    <w:rsid w:val="002230A9"/>
    <w:rsid w:val="00225D79"/>
    <w:rsid w:val="00227096"/>
    <w:rsid w:val="002375DF"/>
    <w:rsid w:val="00247450"/>
    <w:rsid w:val="00250D43"/>
    <w:rsid w:val="00254F36"/>
    <w:rsid w:val="0025512C"/>
    <w:rsid w:val="00264A5F"/>
    <w:rsid w:val="00270920"/>
    <w:rsid w:val="00274A24"/>
    <w:rsid w:val="00277182"/>
    <w:rsid w:val="002776A0"/>
    <w:rsid w:val="002A0709"/>
    <w:rsid w:val="002A3734"/>
    <w:rsid w:val="002A6904"/>
    <w:rsid w:val="002B6294"/>
    <w:rsid w:val="002B629D"/>
    <w:rsid w:val="002B70F3"/>
    <w:rsid w:val="002C2D8A"/>
    <w:rsid w:val="002D5FA5"/>
    <w:rsid w:val="002F0620"/>
    <w:rsid w:val="002F4421"/>
    <w:rsid w:val="002F761E"/>
    <w:rsid w:val="002F77DC"/>
    <w:rsid w:val="002F7C05"/>
    <w:rsid w:val="002F7F09"/>
    <w:rsid w:val="00301797"/>
    <w:rsid w:val="00303BD6"/>
    <w:rsid w:val="00311763"/>
    <w:rsid w:val="00313A5F"/>
    <w:rsid w:val="00316343"/>
    <w:rsid w:val="0031746B"/>
    <w:rsid w:val="00317CB9"/>
    <w:rsid w:val="003220DB"/>
    <w:rsid w:val="00326A90"/>
    <w:rsid w:val="003273F8"/>
    <w:rsid w:val="00327A68"/>
    <w:rsid w:val="003301E4"/>
    <w:rsid w:val="00332801"/>
    <w:rsid w:val="00335484"/>
    <w:rsid w:val="00342C6E"/>
    <w:rsid w:val="0034785E"/>
    <w:rsid w:val="00357881"/>
    <w:rsid w:val="0036233D"/>
    <w:rsid w:val="00362CB3"/>
    <w:rsid w:val="00367CA8"/>
    <w:rsid w:val="00370E22"/>
    <w:rsid w:val="00371E3B"/>
    <w:rsid w:val="003724F7"/>
    <w:rsid w:val="0037621A"/>
    <w:rsid w:val="00377E8F"/>
    <w:rsid w:val="00380668"/>
    <w:rsid w:val="00393EDC"/>
    <w:rsid w:val="003A3DD0"/>
    <w:rsid w:val="003B64C9"/>
    <w:rsid w:val="003C14B9"/>
    <w:rsid w:val="003C5DFF"/>
    <w:rsid w:val="003D4800"/>
    <w:rsid w:val="003E3A36"/>
    <w:rsid w:val="003E780C"/>
    <w:rsid w:val="003F3EF2"/>
    <w:rsid w:val="003F4ABE"/>
    <w:rsid w:val="003F68E6"/>
    <w:rsid w:val="003F7BA4"/>
    <w:rsid w:val="004117F4"/>
    <w:rsid w:val="00417DEF"/>
    <w:rsid w:val="004230B6"/>
    <w:rsid w:val="00425970"/>
    <w:rsid w:val="00431481"/>
    <w:rsid w:val="0046414B"/>
    <w:rsid w:val="00474B5A"/>
    <w:rsid w:val="004841C4"/>
    <w:rsid w:val="004841D0"/>
    <w:rsid w:val="00485ECF"/>
    <w:rsid w:val="00486EC9"/>
    <w:rsid w:val="004A770D"/>
    <w:rsid w:val="004C6473"/>
    <w:rsid w:val="004D454C"/>
    <w:rsid w:val="004D6A50"/>
    <w:rsid w:val="004F2762"/>
    <w:rsid w:val="004F2BAE"/>
    <w:rsid w:val="004F6D0E"/>
    <w:rsid w:val="004F71DD"/>
    <w:rsid w:val="0050623B"/>
    <w:rsid w:val="00511CA0"/>
    <w:rsid w:val="00515D01"/>
    <w:rsid w:val="00516AF2"/>
    <w:rsid w:val="0052696F"/>
    <w:rsid w:val="005304C1"/>
    <w:rsid w:val="005330BB"/>
    <w:rsid w:val="00540734"/>
    <w:rsid w:val="00547BDF"/>
    <w:rsid w:val="005604C6"/>
    <w:rsid w:val="005609F1"/>
    <w:rsid w:val="00574CCC"/>
    <w:rsid w:val="005751EF"/>
    <w:rsid w:val="00577DC9"/>
    <w:rsid w:val="005859C8"/>
    <w:rsid w:val="00595FB8"/>
    <w:rsid w:val="005A59F3"/>
    <w:rsid w:val="005A7908"/>
    <w:rsid w:val="005B0006"/>
    <w:rsid w:val="005B4490"/>
    <w:rsid w:val="005C7482"/>
    <w:rsid w:val="005D3130"/>
    <w:rsid w:val="005D4AF4"/>
    <w:rsid w:val="005E0425"/>
    <w:rsid w:val="006015A9"/>
    <w:rsid w:val="0060279E"/>
    <w:rsid w:val="00604CEB"/>
    <w:rsid w:val="00605F63"/>
    <w:rsid w:val="00613B98"/>
    <w:rsid w:val="00616832"/>
    <w:rsid w:val="006354FC"/>
    <w:rsid w:val="006402A2"/>
    <w:rsid w:val="0064075E"/>
    <w:rsid w:val="00652815"/>
    <w:rsid w:val="0066007D"/>
    <w:rsid w:val="00660374"/>
    <w:rsid w:val="00665714"/>
    <w:rsid w:val="00665FC0"/>
    <w:rsid w:val="00666E43"/>
    <w:rsid w:val="0067191D"/>
    <w:rsid w:val="00684693"/>
    <w:rsid w:val="00692060"/>
    <w:rsid w:val="00693E40"/>
    <w:rsid w:val="006A1CD7"/>
    <w:rsid w:val="006A217B"/>
    <w:rsid w:val="006A3A11"/>
    <w:rsid w:val="006A4680"/>
    <w:rsid w:val="006B26E6"/>
    <w:rsid w:val="006B4F10"/>
    <w:rsid w:val="006B752B"/>
    <w:rsid w:val="006C3A3F"/>
    <w:rsid w:val="006C706D"/>
    <w:rsid w:val="006D0624"/>
    <w:rsid w:val="006D3F8D"/>
    <w:rsid w:val="006D7A63"/>
    <w:rsid w:val="006E3176"/>
    <w:rsid w:val="006E3B34"/>
    <w:rsid w:val="006E5929"/>
    <w:rsid w:val="006F632B"/>
    <w:rsid w:val="006F7D7F"/>
    <w:rsid w:val="00700047"/>
    <w:rsid w:val="00712658"/>
    <w:rsid w:val="00720409"/>
    <w:rsid w:val="00723314"/>
    <w:rsid w:val="00742622"/>
    <w:rsid w:val="0075132F"/>
    <w:rsid w:val="007559E7"/>
    <w:rsid w:val="0076009C"/>
    <w:rsid w:val="0076431A"/>
    <w:rsid w:val="00765B0E"/>
    <w:rsid w:val="007700D2"/>
    <w:rsid w:val="0077317D"/>
    <w:rsid w:val="0077754D"/>
    <w:rsid w:val="0078779C"/>
    <w:rsid w:val="007921BD"/>
    <w:rsid w:val="007A71EF"/>
    <w:rsid w:val="007B3092"/>
    <w:rsid w:val="007C0100"/>
    <w:rsid w:val="007C7818"/>
    <w:rsid w:val="007D4BBD"/>
    <w:rsid w:val="007E3C9E"/>
    <w:rsid w:val="007E45D0"/>
    <w:rsid w:val="0080158B"/>
    <w:rsid w:val="0080395E"/>
    <w:rsid w:val="00805B99"/>
    <w:rsid w:val="0081257B"/>
    <w:rsid w:val="00814F50"/>
    <w:rsid w:val="00815A86"/>
    <w:rsid w:val="00817449"/>
    <w:rsid w:val="00820BE4"/>
    <w:rsid w:val="00821BC0"/>
    <w:rsid w:val="008237E8"/>
    <w:rsid w:val="0083047E"/>
    <w:rsid w:val="00835752"/>
    <w:rsid w:val="0085185C"/>
    <w:rsid w:val="00852A59"/>
    <w:rsid w:val="0085642F"/>
    <w:rsid w:val="00856FDF"/>
    <w:rsid w:val="0087204D"/>
    <w:rsid w:val="0087436E"/>
    <w:rsid w:val="008832E5"/>
    <w:rsid w:val="008866E3"/>
    <w:rsid w:val="00896D44"/>
    <w:rsid w:val="00897F94"/>
    <w:rsid w:val="008A4989"/>
    <w:rsid w:val="008A6C8D"/>
    <w:rsid w:val="008B1CC6"/>
    <w:rsid w:val="008C35F9"/>
    <w:rsid w:val="008C5EF7"/>
    <w:rsid w:val="008C66A8"/>
    <w:rsid w:val="008C7BAF"/>
    <w:rsid w:val="008E09B4"/>
    <w:rsid w:val="008E642D"/>
    <w:rsid w:val="008F72F3"/>
    <w:rsid w:val="00900F5C"/>
    <w:rsid w:val="00903CCB"/>
    <w:rsid w:val="00903E30"/>
    <w:rsid w:val="009104B0"/>
    <w:rsid w:val="009173AC"/>
    <w:rsid w:val="00924624"/>
    <w:rsid w:val="009309EE"/>
    <w:rsid w:val="00935E41"/>
    <w:rsid w:val="009362E7"/>
    <w:rsid w:val="00936653"/>
    <w:rsid w:val="00955ED2"/>
    <w:rsid w:val="009618FD"/>
    <w:rsid w:val="00974A6B"/>
    <w:rsid w:val="0098728E"/>
    <w:rsid w:val="0099253F"/>
    <w:rsid w:val="009B2F7A"/>
    <w:rsid w:val="009B34A7"/>
    <w:rsid w:val="009B41C5"/>
    <w:rsid w:val="009B55AE"/>
    <w:rsid w:val="009C0762"/>
    <w:rsid w:val="009C1C34"/>
    <w:rsid w:val="009E69C3"/>
    <w:rsid w:val="009F3A84"/>
    <w:rsid w:val="00A0492C"/>
    <w:rsid w:val="00A1020A"/>
    <w:rsid w:val="00A14D93"/>
    <w:rsid w:val="00A32686"/>
    <w:rsid w:val="00A3608B"/>
    <w:rsid w:val="00A367AC"/>
    <w:rsid w:val="00A40ECC"/>
    <w:rsid w:val="00A47987"/>
    <w:rsid w:val="00A60252"/>
    <w:rsid w:val="00A72793"/>
    <w:rsid w:val="00A910B1"/>
    <w:rsid w:val="00A92C40"/>
    <w:rsid w:val="00A95F0D"/>
    <w:rsid w:val="00A962C2"/>
    <w:rsid w:val="00AA1D37"/>
    <w:rsid w:val="00AA7912"/>
    <w:rsid w:val="00AB1259"/>
    <w:rsid w:val="00AB617A"/>
    <w:rsid w:val="00AC0AD0"/>
    <w:rsid w:val="00AC1A30"/>
    <w:rsid w:val="00AC4F30"/>
    <w:rsid w:val="00AC671F"/>
    <w:rsid w:val="00AD2AD4"/>
    <w:rsid w:val="00AE0700"/>
    <w:rsid w:val="00AE6E28"/>
    <w:rsid w:val="00B0270F"/>
    <w:rsid w:val="00B10AAD"/>
    <w:rsid w:val="00B10EC9"/>
    <w:rsid w:val="00B11B8F"/>
    <w:rsid w:val="00B1782A"/>
    <w:rsid w:val="00B24CF9"/>
    <w:rsid w:val="00B30650"/>
    <w:rsid w:val="00B316A6"/>
    <w:rsid w:val="00B4690B"/>
    <w:rsid w:val="00B6115A"/>
    <w:rsid w:val="00B62722"/>
    <w:rsid w:val="00B6360D"/>
    <w:rsid w:val="00B6470A"/>
    <w:rsid w:val="00B70FC6"/>
    <w:rsid w:val="00B840D6"/>
    <w:rsid w:val="00B86C7A"/>
    <w:rsid w:val="00B87E43"/>
    <w:rsid w:val="00B93CA1"/>
    <w:rsid w:val="00B95BDF"/>
    <w:rsid w:val="00BA08B4"/>
    <w:rsid w:val="00BA1DD3"/>
    <w:rsid w:val="00BC0855"/>
    <w:rsid w:val="00BC49E6"/>
    <w:rsid w:val="00BC4D27"/>
    <w:rsid w:val="00BC7B69"/>
    <w:rsid w:val="00BD1483"/>
    <w:rsid w:val="00BD7AB6"/>
    <w:rsid w:val="00BD7C98"/>
    <w:rsid w:val="00BE0C6B"/>
    <w:rsid w:val="00BE13DE"/>
    <w:rsid w:val="00BF1CB3"/>
    <w:rsid w:val="00BF24CB"/>
    <w:rsid w:val="00BF3898"/>
    <w:rsid w:val="00C01FC4"/>
    <w:rsid w:val="00C05F1E"/>
    <w:rsid w:val="00C070D4"/>
    <w:rsid w:val="00C14F3A"/>
    <w:rsid w:val="00C205DD"/>
    <w:rsid w:val="00C22CE2"/>
    <w:rsid w:val="00C355DD"/>
    <w:rsid w:val="00C400E6"/>
    <w:rsid w:val="00C409AF"/>
    <w:rsid w:val="00C46AAB"/>
    <w:rsid w:val="00C51D4A"/>
    <w:rsid w:val="00C61346"/>
    <w:rsid w:val="00C6387C"/>
    <w:rsid w:val="00C63BFE"/>
    <w:rsid w:val="00C65739"/>
    <w:rsid w:val="00C8400F"/>
    <w:rsid w:val="00C97699"/>
    <w:rsid w:val="00CA4734"/>
    <w:rsid w:val="00CB0C0A"/>
    <w:rsid w:val="00CC0EBA"/>
    <w:rsid w:val="00CD2924"/>
    <w:rsid w:val="00CD5C9F"/>
    <w:rsid w:val="00CD648D"/>
    <w:rsid w:val="00CE2229"/>
    <w:rsid w:val="00CF0396"/>
    <w:rsid w:val="00D01DE0"/>
    <w:rsid w:val="00D064F7"/>
    <w:rsid w:val="00D101AB"/>
    <w:rsid w:val="00D347BE"/>
    <w:rsid w:val="00D50CA0"/>
    <w:rsid w:val="00D6481D"/>
    <w:rsid w:val="00D72E8A"/>
    <w:rsid w:val="00D74745"/>
    <w:rsid w:val="00D81101"/>
    <w:rsid w:val="00D816DB"/>
    <w:rsid w:val="00D8234B"/>
    <w:rsid w:val="00D83C85"/>
    <w:rsid w:val="00D862A6"/>
    <w:rsid w:val="00D876A1"/>
    <w:rsid w:val="00DA1E24"/>
    <w:rsid w:val="00DA22A5"/>
    <w:rsid w:val="00DB567F"/>
    <w:rsid w:val="00DC7E60"/>
    <w:rsid w:val="00DD2774"/>
    <w:rsid w:val="00DE06CC"/>
    <w:rsid w:val="00DE4395"/>
    <w:rsid w:val="00DE5920"/>
    <w:rsid w:val="00DF0248"/>
    <w:rsid w:val="00DF0A11"/>
    <w:rsid w:val="00DF241C"/>
    <w:rsid w:val="00E01B42"/>
    <w:rsid w:val="00E0502A"/>
    <w:rsid w:val="00E14D2D"/>
    <w:rsid w:val="00E211D6"/>
    <w:rsid w:val="00E301F2"/>
    <w:rsid w:val="00E307A3"/>
    <w:rsid w:val="00E34C89"/>
    <w:rsid w:val="00E36DA6"/>
    <w:rsid w:val="00E37EFF"/>
    <w:rsid w:val="00E458E2"/>
    <w:rsid w:val="00E50FCE"/>
    <w:rsid w:val="00E52226"/>
    <w:rsid w:val="00E66FDB"/>
    <w:rsid w:val="00E80FB0"/>
    <w:rsid w:val="00E824A3"/>
    <w:rsid w:val="00EA094C"/>
    <w:rsid w:val="00EA3A12"/>
    <w:rsid w:val="00EB03E2"/>
    <w:rsid w:val="00EC6862"/>
    <w:rsid w:val="00ED09AE"/>
    <w:rsid w:val="00ED6309"/>
    <w:rsid w:val="00EE6D7E"/>
    <w:rsid w:val="00EF4362"/>
    <w:rsid w:val="00F00C06"/>
    <w:rsid w:val="00F02F3C"/>
    <w:rsid w:val="00F0370B"/>
    <w:rsid w:val="00F065ED"/>
    <w:rsid w:val="00F1660F"/>
    <w:rsid w:val="00F209E9"/>
    <w:rsid w:val="00F23475"/>
    <w:rsid w:val="00F25ACC"/>
    <w:rsid w:val="00F25EC6"/>
    <w:rsid w:val="00F317A9"/>
    <w:rsid w:val="00F31FBB"/>
    <w:rsid w:val="00F37193"/>
    <w:rsid w:val="00F533F1"/>
    <w:rsid w:val="00F53DD6"/>
    <w:rsid w:val="00F548F7"/>
    <w:rsid w:val="00F5492D"/>
    <w:rsid w:val="00F60731"/>
    <w:rsid w:val="00F60945"/>
    <w:rsid w:val="00F6634E"/>
    <w:rsid w:val="00F8313A"/>
    <w:rsid w:val="00F96082"/>
    <w:rsid w:val="00FA281D"/>
    <w:rsid w:val="00FB5E38"/>
    <w:rsid w:val="00FB6337"/>
    <w:rsid w:val="00FC0BEB"/>
    <w:rsid w:val="00FC2A92"/>
    <w:rsid w:val="00FC6670"/>
    <w:rsid w:val="00FE3F95"/>
    <w:rsid w:val="00FE7052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629E"/>
  <w15:chartTrackingRefBased/>
  <w15:docId w15:val="{791EB941-5AA5-47AC-AA75-E0ACC87E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C09"/>
    <w:pPr>
      <w:ind w:left="720"/>
      <w:contextualSpacing/>
    </w:pPr>
  </w:style>
  <w:style w:type="paragraph" w:styleId="NoSpacing">
    <w:name w:val="No Spacing"/>
    <w:uiPriority w:val="1"/>
    <w:qFormat/>
    <w:rsid w:val="00FE7052"/>
    <w:pPr>
      <w:spacing w:after="0" w:line="240" w:lineRule="auto"/>
    </w:pPr>
  </w:style>
  <w:style w:type="paragraph" w:customStyle="1" w:styleId="xmsonormal">
    <w:name w:val="x_msonormal"/>
    <w:basedOn w:val="Normal"/>
    <w:rsid w:val="008866E3"/>
    <w:pPr>
      <w:spacing w:after="0" w:line="240" w:lineRule="auto"/>
    </w:pPr>
    <w:rPr>
      <w:rFonts w:ascii="Calibri" w:hAnsi="Calibri" w:cs="Times New Roman"/>
      <w:lang w:eastAsia="en-GB"/>
    </w:rPr>
  </w:style>
  <w:style w:type="paragraph" w:customStyle="1" w:styleId="p1">
    <w:name w:val="p1"/>
    <w:basedOn w:val="Normal"/>
    <w:rsid w:val="007921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7921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3">
    <w:name w:val="p3"/>
    <w:basedOn w:val="Normal"/>
    <w:rsid w:val="007921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7921BD"/>
  </w:style>
  <w:style w:type="character" w:customStyle="1" w:styleId="s2">
    <w:name w:val="s2"/>
    <w:basedOn w:val="DefaultParagraphFont"/>
    <w:rsid w:val="007921BD"/>
  </w:style>
  <w:style w:type="character" w:styleId="Hyperlink">
    <w:name w:val="Hyperlink"/>
    <w:basedOn w:val="DefaultParagraphFont"/>
    <w:uiPriority w:val="99"/>
    <w:semiHidden/>
    <w:unhideWhenUsed/>
    <w:rsid w:val="007921B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44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4490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449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5B4490"/>
  </w:style>
  <w:style w:type="character" w:customStyle="1" w:styleId="eop">
    <w:name w:val="eop"/>
    <w:basedOn w:val="DefaultParagraphFont"/>
    <w:rsid w:val="005B4490"/>
  </w:style>
  <w:style w:type="character" w:customStyle="1" w:styleId="cf0">
    <w:name w:val="cf0"/>
    <w:basedOn w:val="DefaultParagraphFont"/>
    <w:rsid w:val="00417DEF"/>
  </w:style>
  <w:style w:type="character" w:styleId="Strong">
    <w:name w:val="Strong"/>
    <w:basedOn w:val="DefaultParagraphFont"/>
    <w:uiPriority w:val="22"/>
    <w:qFormat/>
    <w:rsid w:val="00903CCB"/>
    <w:rPr>
      <w:b/>
      <w:bCs/>
    </w:rPr>
  </w:style>
  <w:style w:type="table" w:styleId="TableGridLight">
    <w:name w:val="Grid Table Light"/>
    <w:basedOn w:val="TableNormal"/>
    <w:uiPriority w:val="40"/>
    <w:rsid w:val="00B24C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Myers</dc:creator>
  <cp:keywords/>
  <dc:description/>
  <cp:lastModifiedBy>Sam Bradshaw</cp:lastModifiedBy>
  <cp:revision>2</cp:revision>
  <dcterms:created xsi:type="dcterms:W3CDTF">2023-11-13T10:02:00Z</dcterms:created>
  <dcterms:modified xsi:type="dcterms:W3CDTF">2023-11-13T10:02:00Z</dcterms:modified>
</cp:coreProperties>
</file>