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97" w:rsidRPr="00B17497" w:rsidRDefault="00B17497" w:rsidP="00B1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7497">
        <w:rPr>
          <w:rFonts w:ascii="Arial" w:eastAsia="Times New Roman" w:hAnsi="Arial" w:cs="Arial"/>
          <w:b/>
          <w:bCs/>
          <w:sz w:val="24"/>
          <w:szCs w:val="24"/>
        </w:rPr>
        <w:t>Public Health Local Enhanced Service</w:t>
      </w:r>
    </w:p>
    <w:p w:rsidR="00B17497" w:rsidRPr="00B17497" w:rsidRDefault="00B17497" w:rsidP="00B1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7497">
        <w:rPr>
          <w:rFonts w:ascii="Arial" w:eastAsia="Times New Roman" w:hAnsi="Arial" w:cs="Arial"/>
          <w:b/>
          <w:bCs/>
          <w:sz w:val="24"/>
          <w:szCs w:val="24"/>
        </w:rPr>
        <w:t xml:space="preserve">for Stop Smoking Interventions in </w:t>
      </w:r>
      <w:r w:rsidR="0040171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B17497">
        <w:rPr>
          <w:rFonts w:ascii="Arial" w:eastAsia="Times New Roman" w:hAnsi="Arial" w:cs="Arial"/>
          <w:b/>
          <w:bCs/>
          <w:sz w:val="24"/>
          <w:szCs w:val="24"/>
        </w:rPr>
        <w:t xml:space="preserve">ommunity </w:t>
      </w:r>
      <w:r w:rsidR="0040171E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B17497">
        <w:rPr>
          <w:rFonts w:ascii="Arial" w:eastAsia="Times New Roman" w:hAnsi="Arial" w:cs="Arial"/>
          <w:b/>
          <w:bCs/>
          <w:sz w:val="24"/>
          <w:szCs w:val="24"/>
        </w:rPr>
        <w:t>harmacies</w:t>
      </w:r>
    </w:p>
    <w:p w:rsidR="00CA733F" w:rsidRDefault="00B17497" w:rsidP="00B1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7497">
        <w:rPr>
          <w:rFonts w:ascii="Arial" w:eastAsia="Times New Roman" w:hAnsi="Arial" w:cs="Arial"/>
          <w:b/>
          <w:bCs/>
          <w:sz w:val="24"/>
          <w:szCs w:val="24"/>
        </w:rPr>
        <w:t>Service Specification April 20</w:t>
      </w:r>
      <w:r w:rsidR="00E33D0C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="005F02B3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CA733F">
        <w:rPr>
          <w:rFonts w:ascii="Arial" w:eastAsia="Times New Roman" w:hAnsi="Arial" w:cs="Arial"/>
          <w:b/>
          <w:bCs/>
          <w:sz w:val="24"/>
          <w:szCs w:val="24"/>
        </w:rPr>
        <w:t>March 202</w:t>
      </w:r>
      <w:r w:rsidR="00061260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CA733F" w:rsidRDefault="00CA733F" w:rsidP="00B1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A733F" w:rsidRDefault="00457BDC" w:rsidP="00B1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CA733F" w:rsidRPr="00CA733F">
        <w:rPr>
          <w:rFonts w:ascii="Arial" w:eastAsia="Times New Roman" w:hAnsi="Arial" w:cs="Arial"/>
          <w:b/>
          <w:bCs/>
          <w:sz w:val="24"/>
          <w:szCs w:val="24"/>
        </w:rPr>
        <w:t>Subject to Annual Review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B17497" w:rsidRPr="00B17497" w:rsidRDefault="00B17497" w:rsidP="00B17497">
      <w:pPr>
        <w:keepNext/>
        <w:spacing w:after="0" w:line="240" w:lineRule="auto"/>
        <w:ind w:left="2160" w:hanging="720"/>
        <w:outlineLvl w:val="1"/>
        <w:rPr>
          <w:rFonts w:ascii="Arial" w:eastAsia="Times New Roman" w:hAnsi="Arial" w:cs="Arial"/>
          <w:i/>
          <w:sz w:val="24"/>
          <w:szCs w:val="24"/>
        </w:rPr>
      </w:pPr>
    </w:p>
    <w:p w:rsidR="00B17497" w:rsidRPr="00B17497" w:rsidRDefault="00B17497" w:rsidP="00B1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17497">
        <w:rPr>
          <w:rFonts w:ascii="Arial" w:eastAsia="Times New Roman" w:hAnsi="Arial" w:cs="Arial"/>
          <w:b/>
          <w:sz w:val="24"/>
          <w:szCs w:val="24"/>
        </w:rPr>
        <w:t xml:space="preserve">Introduction </w:t>
      </w:r>
    </w:p>
    <w:p w:rsidR="00B17497" w:rsidRPr="00B17497" w:rsidRDefault="00B17497" w:rsidP="00B17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7497" w:rsidRPr="00B17497" w:rsidRDefault="00B17497" w:rsidP="00B17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 xml:space="preserve">This </w:t>
      </w:r>
      <w:r w:rsidR="0040171E">
        <w:rPr>
          <w:rFonts w:ascii="Arial" w:eastAsia="Times New Roman" w:hAnsi="Arial" w:cs="Arial"/>
          <w:sz w:val="24"/>
          <w:szCs w:val="24"/>
        </w:rPr>
        <w:t>Service S</w:t>
      </w:r>
      <w:r w:rsidRPr="00B17497">
        <w:rPr>
          <w:rFonts w:ascii="Arial" w:eastAsia="Times New Roman" w:hAnsi="Arial" w:cs="Arial"/>
          <w:sz w:val="24"/>
          <w:szCs w:val="24"/>
        </w:rPr>
        <w:t xml:space="preserve">pecification details the </w:t>
      </w:r>
      <w:r w:rsidR="0040171E">
        <w:rPr>
          <w:rFonts w:ascii="Arial" w:eastAsia="Times New Roman" w:hAnsi="Arial" w:cs="Arial"/>
          <w:sz w:val="24"/>
          <w:szCs w:val="24"/>
        </w:rPr>
        <w:t xml:space="preserve">Services to be delivered by the Provider in respect of </w:t>
      </w:r>
      <w:r w:rsidRPr="00B17497">
        <w:rPr>
          <w:rFonts w:ascii="Arial" w:eastAsia="Times New Roman" w:hAnsi="Arial" w:cs="Arial"/>
          <w:sz w:val="24"/>
          <w:szCs w:val="24"/>
        </w:rPr>
        <w:t>the provision of ‘stop smoking’ interventions</w:t>
      </w:r>
      <w:r w:rsidR="0040171E">
        <w:rPr>
          <w:rFonts w:ascii="Arial" w:eastAsia="Times New Roman" w:hAnsi="Arial" w:cs="Arial"/>
          <w:sz w:val="24"/>
          <w:szCs w:val="24"/>
        </w:rPr>
        <w:t>.</w:t>
      </w:r>
      <w:r w:rsidRPr="00B174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7497" w:rsidRPr="00B17497" w:rsidRDefault="00B17497" w:rsidP="00B1749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17497" w:rsidRPr="00B17497" w:rsidRDefault="002120EB" w:rsidP="00B1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Service </w:t>
      </w:r>
      <w:r w:rsidR="00B17497" w:rsidRPr="00B17497">
        <w:rPr>
          <w:rFonts w:ascii="Arial" w:eastAsia="Times New Roman" w:hAnsi="Arial" w:cs="Arial"/>
          <w:b/>
          <w:sz w:val="24"/>
          <w:szCs w:val="24"/>
        </w:rPr>
        <w:t>Aims</w:t>
      </w:r>
    </w:p>
    <w:p w:rsidR="00B17497" w:rsidRPr="00B17497" w:rsidRDefault="00B17497" w:rsidP="00B17497">
      <w:pPr>
        <w:keepNext/>
        <w:spacing w:after="0" w:line="240" w:lineRule="auto"/>
        <w:ind w:left="2160" w:hanging="720"/>
        <w:outlineLvl w:val="1"/>
        <w:rPr>
          <w:rFonts w:ascii="Arial" w:eastAsia="Times New Roman" w:hAnsi="Arial" w:cs="Arial"/>
          <w:sz w:val="24"/>
          <w:szCs w:val="24"/>
        </w:rPr>
      </w:pPr>
    </w:p>
    <w:p w:rsidR="00B17497" w:rsidRPr="00B17497" w:rsidRDefault="00B17497" w:rsidP="00B1749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17497">
        <w:rPr>
          <w:rFonts w:ascii="Arial" w:eastAsia="Times New Roman" w:hAnsi="Arial" w:cs="Arial"/>
          <w:noProof/>
          <w:sz w:val="24"/>
          <w:szCs w:val="24"/>
        </w:rPr>
        <w:t xml:space="preserve">The overall </w:t>
      </w:r>
      <w:r w:rsidR="009D4F80">
        <w:rPr>
          <w:rFonts w:ascii="Arial" w:eastAsia="Times New Roman" w:hAnsi="Arial" w:cs="Arial"/>
          <w:noProof/>
          <w:sz w:val="24"/>
          <w:szCs w:val="24"/>
        </w:rPr>
        <w:t>objective</w:t>
      </w:r>
      <w:r w:rsidRPr="00B17497">
        <w:rPr>
          <w:rFonts w:ascii="Arial" w:eastAsia="Times New Roman" w:hAnsi="Arial" w:cs="Arial"/>
          <w:noProof/>
          <w:sz w:val="24"/>
          <w:szCs w:val="24"/>
        </w:rPr>
        <w:t xml:space="preserve"> of this Service is to support the reduction of smoking prevalence in Gloucestershire and to reduce health inequalities, enabling </w:t>
      </w:r>
      <w:r w:rsidR="0040171E">
        <w:rPr>
          <w:rFonts w:ascii="Arial" w:eastAsia="Times New Roman" w:hAnsi="Arial" w:cs="Arial"/>
          <w:noProof/>
          <w:sz w:val="24"/>
          <w:szCs w:val="24"/>
        </w:rPr>
        <w:t xml:space="preserve">Service Users </w:t>
      </w:r>
      <w:r w:rsidRPr="00B17497">
        <w:rPr>
          <w:rFonts w:ascii="Arial" w:eastAsia="Times New Roman" w:hAnsi="Arial" w:cs="Arial"/>
          <w:noProof/>
          <w:sz w:val="24"/>
          <w:szCs w:val="24"/>
        </w:rPr>
        <w:t>to access high quality stop smoking support which best fits their needs.</w:t>
      </w:r>
    </w:p>
    <w:p w:rsidR="00B17497" w:rsidRPr="00B17497" w:rsidRDefault="00B17497" w:rsidP="00B17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7497" w:rsidRPr="00B17497" w:rsidRDefault="00B17497" w:rsidP="00B174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B17497">
        <w:rPr>
          <w:rFonts w:ascii="Arial" w:eastAsia="Times New Roman" w:hAnsi="Arial" w:cs="Arial"/>
          <w:noProof/>
          <w:sz w:val="24"/>
          <w:szCs w:val="24"/>
        </w:rPr>
        <w:t>The Service also aims to:</w:t>
      </w:r>
    </w:p>
    <w:p w:rsidR="00B17497" w:rsidRPr="00B17497" w:rsidRDefault="00B17497" w:rsidP="00B17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7497" w:rsidRPr="00B17497" w:rsidRDefault="00B17497" w:rsidP="00B17497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17497">
        <w:rPr>
          <w:rFonts w:ascii="Arial" w:eastAsia="Times New Roman" w:hAnsi="Arial" w:cs="Arial"/>
          <w:noProof/>
          <w:sz w:val="24"/>
          <w:szCs w:val="24"/>
        </w:rPr>
        <w:t xml:space="preserve">Enhance the quality and effectiveness of ‘stop smoking’ services provided </w:t>
      </w:r>
      <w:r w:rsidR="0040171E">
        <w:rPr>
          <w:rFonts w:ascii="Arial" w:eastAsia="Times New Roman" w:hAnsi="Arial" w:cs="Arial"/>
          <w:noProof/>
          <w:sz w:val="24"/>
          <w:szCs w:val="24"/>
        </w:rPr>
        <w:t xml:space="preserve">by the Provider </w:t>
      </w:r>
      <w:r w:rsidRPr="00B17497">
        <w:rPr>
          <w:rFonts w:ascii="Arial" w:eastAsia="Times New Roman" w:hAnsi="Arial" w:cs="Arial"/>
          <w:noProof/>
          <w:sz w:val="24"/>
          <w:szCs w:val="24"/>
        </w:rPr>
        <w:t>by ensuring a ‘</w:t>
      </w:r>
      <w:r w:rsidRPr="00B5685A">
        <w:rPr>
          <w:rFonts w:ascii="Arial" w:eastAsia="Times New Roman" w:hAnsi="Arial" w:cs="Arial"/>
          <w:noProof/>
          <w:sz w:val="24"/>
          <w:szCs w:val="24"/>
        </w:rPr>
        <w:t xml:space="preserve">whole </w:t>
      </w:r>
      <w:r w:rsidR="00CF28B0">
        <w:rPr>
          <w:rFonts w:ascii="Arial" w:eastAsia="Times New Roman" w:hAnsi="Arial" w:cs="Arial"/>
          <w:noProof/>
          <w:sz w:val="24"/>
          <w:szCs w:val="24"/>
        </w:rPr>
        <w:t>pharmacy</w:t>
      </w:r>
      <w:r w:rsidRPr="00B5685A">
        <w:rPr>
          <w:rFonts w:ascii="Arial" w:eastAsia="Times New Roman" w:hAnsi="Arial" w:cs="Arial"/>
          <w:noProof/>
          <w:sz w:val="24"/>
          <w:szCs w:val="24"/>
        </w:rPr>
        <w:t xml:space="preserve"> approach’</w:t>
      </w:r>
      <w:r w:rsidRPr="00B17497">
        <w:rPr>
          <w:rFonts w:ascii="Arial" w:eastAsia="Times New Roman" w:hAnsi="Arial" w:cs="Arial"/>
          <w:noProof/>
          <w:sz w:val="24"/>
          <w:szCs w:val="24"/>
        </w:rPr>
        <w:t xml:space="preserve"> and ensure that a high quality standard of training has been received by those providing the intervention to smokers.</w:t>
      </w:r>
    </w:p>
    <w:p w:rsidR="00B17497" w:rsidRPr="00B17497" w:rsidRDefault="00B17497" w:rsidP="00B17497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noProof/>
          <w:sz w:val="24"/>
          <w:szCs w:val="24"/>
        </w:rPr>
        <w:t>Provide high quality, comprehensive, accessible, convenient and cost-effective stop smoking services across Gloucestershire.</w:t>
      </w:r>
    </w:p>
    <w:p w:rsidR="00B17497" w:rsidRPr="00B17497" w:rsidRDefault="00B17497" w:rsidP="00B17497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>Ensure that a large number and variety of healthcare professionals can contribute to the reduction in morbidity and mortality as a result of smoking.</w:t>
      </w:r>
    </w:p>
    <w:p w:rsidR="007E06C1" w:rsidRPr="0059736D" w:rsidRDefault="00457BDC" w:rsidP="00457BDC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7BDC">
        <w:rPr>
          <w:rFonts w:ascii="Arial" w:eastAsia="Times New Roman" w:hAnsi="Arial" w:cs="Arial"/>
          <w:sz w:val="24"/>
          <w:szCs w:val="24"/>
        </w:rPr>
        <w:t xml:space="preserve">Proactively </w:t>
      </w:r>
      <w:r>
        <w:rPr>
          <w:rFonts w:ascii="Arial" w:eastAsia="Times New Roman" w:hAnsi="Arial" w:cs="Arial"/>
          <w:sz w:val="24"/>
          <w:szCs w:val="24"/>
        </w:rPr>
        <w:t>i</w:t>
      </w:r>
      <w:r w:rsidR="007E06C1" w:rsidRPr="00BB0E3D">
        <w:rPr>
          <w:rFonts w:ascii="Arial" w:eastAsia="Times New Roman" w:hAnsi="Arial" w:cs="Arial"/>
          <w:sz w:val="24"/>
          <w:szCs w:val="24"/>
        </w:rPr>
        <w:t xml:space="preserve">dentify </w:t>
      </w:r>
      <w:r>
        <w:rPr>
          <w:rFonts w:ascii="Arial" w:eastAsia="Times New Roman" w:hAnsi="Arial" w:cs="Arial"/>
          <w:sz w:val="24"/>
          <w:szCs w:val="24"/>
        </w:rPr>
        <w:t>Service Users</w:t>
      </w:r>
      <w:r w:rsidR="007E06C1" w:rsidRPr="00BB0E3D">
        <w:rPr>
          <w:rFonts w:ascii="Arial" w:eastAsia="Times New Roman" w:hAnsi="Arial" w:cs="Arial"/>
          <w:sz w:val="24"/>
          <w:szCs w:val="24"/>
        </w:rPr>
        <w:t xml:space="preserve"> wishing to stop</w:t>
      </w:r>
      <w:r>
        <w:rPr>
          <w:rFonts w:ascii="Arial" w:eastAsia="Times New Roman" w:hAnsi="Arial" w:cs="Arial"/>
          <w:sz w:val="24"/>
          <w:szCs w:val="24"/>
        </w:rPr>
        <w:t xml:space="preserve"> smoking</w:t>
      </w:r>
      <w:r w:rsidR="007E06C1" w:rsidRPr="00BB0E3D">
        <w:rPr>
          <w:rFonts w:ascii="Arial" w:eastAsia="Times New Roman" w:hAnsi="Arial" w:cs="Arial"/>
          <w:sz w:val="24"/>
          <w:szCs w:val="24"/>
        </w:rPr>
        <w:t xml:space="preserve"> and </w:t>
      </w:r>
      <w:r w:rsidR="004B326F">
        <w:rPr>
          <w:rFonts w:ascii="Arial" w:eastAsia="Times New Roman" w:hAnsi="Arial" w:cs="Arial"/>
          <w:sz w:val="24"/>
          <w:szCs w:val="24"/>
        </w:rPr>
        <w:t xml:space="preserve">provide </w:t>
      </w:r>
      <w:r w:rsidR="007E06C1" w:rsidRPr="00BB0E3D">
        <w:rPr>
          <w:rFonts w:ascii="Arial" w:eastAsia="Times New Roman" w:hAnsi="Arial" w:cs="Arial"/>
          <w:sz w:val="24"/>
          <w:szCs w:val="24"/>
        </w:rPr>
        <w:t>supp</w:t>
      </w:r>
      <w:r w:rsidR="007E06C1" w:rsidRPr="0059736D">
        <w:rPr>
          <w:rFonts w:ascii="Arial" w:eastAsia="Times New Roman" w:hAnsi="Arial" w:cs="Arial"/>
          <w:sz w:val="24"/>
          <w:szCs w:val="24"/>
        </w:rPr>
        <w:t>ort</w:t>
      </w:r>
      <w:r w:rsidR="004B326F">
        <w:rPr>
          <w:rFonts w:ascii="Arial" w:eastAsia="Times New Roman" w:hAnsi="Arial" w:cs="Arial"/>
          <w:sz w:val="24"/>
          <w:szCs w:val="24"/>
        </w:rPr>
        <w:t xml:space="preserve"> with</w:t>
      </w:r>
      <w:r w:rsidR="007E06C1" w:rsidRPr="0059736D">
        <w:rPr>
          <w:rFonts w:ascii="Arial" w:eastAsia="Times New Roman" w:hAnsi="Arial" w:cs="Arial"/>
          <w:sz w:val="24"/>
          <w:szCs w:val="24"/>
        </w:rPr>
        <w:t xml:space="preserve"> </w:t>
      </w:r>
      <w:r w:rsidR="007E06C1">
        <w:rPr>
          <w:rFonts w:ascii="Arial" w:eastAsia="Times New Roman" w:hAnsi="Arial" w:cs="Arial"/>
          <w:sz w:val="24"/>
          <w:szCs w:val="24"/>
        </w:rPr>
        <w:t>their quit attempt</w:t>
      </w:r>
      <w:r w:rsidR="007E06C1" w:rsidRPr="0059736D">
        <w:rPr>
          <w:rFonts w:ascii="Arial" w:eastAsia="Times New Roman" w:hAnsi="Arial" w:cs="Arial"/>
          <w:sz w:val="24"/>
          <w:szCs w:val="24"/>
        </w:rPr>
        <w:t>.</w:t>
      </w:r>
    </w:p>
    <w:p w:rsidR="00B01EA9" w:rsidRPr="00B01EA9" w:rsidRDefault="00B17497" w:rsidP="00B01EA9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5774">
        <w:rPr>
          <w:rFonts w:ascii="Arial" w:eastAsia="Times New Roman" w:hAnsi="Arial" w:cs="Arial"/>
          <w:sz w:val="24"/>
          <w:szCs w:val="24"/>
        </w:rPr>
        <w:t xml:space="preserve">Ensure more intensive support is offered to </w:t>
      </w:r>
      <w:r w:rsidR="00457BDC">
        <w:rPr>
          <w:rFonts w:ascii="Arial" w:eastAsia="Times New Roman" w:hAnsi="Arial" w:cs="Arial"/>
          <w:sz w:val="24"/>
          <w:szCs w:val="24"/>
        </w:rPr>
        <w:t>Service Users</w:t>
      </w:r>
      <w:r w:rsidRPr="00495774">
        <w:rPr>
          <w:rFonts w:ascii="Arial" w:eastAsia="Times New Roman" w:hAnsi="Arial" w:cs="Arial"/>
          <w:sz w:val="24"/>
          <w:szCs w:val="24"/>
        </w:rPr>
        <w:t xml:space="preserve"> with more complex needs by referral to </w:t>
      </w:r>
      <w:r w:rsidR="00495774">
        <w:rPr>
          <w:rFonts w:ascii="Arial" w:eastAsia="Times New Roman" w:hAnsi="Arial" w:cs="Arial"/>
          <w:sz w:val="24"/>
          <w:szCs w:val="24"/>
        </w:rPr>
        <w:t xml:space="preserve">the </w:t>
      </w:r>
      <w:r w:rsidR="00E542A1">
        <w:rPr>
          <w:rFonts w:ascii="Arial" w:eastAsia="Times New Roman" w:hAnsi="Arial" w:cs="Arial"/>
          <w:sz w:val="24"/>
          <w:szCs w:val="24"/>
        </w:rPr>
        <w:t>Gloucestershire Healthy Lifestyles Service</w:t>
      </w:r>
    </w:p>
    <w:p w:rsidR="00D55B70" w:rsidRPr="00D97DF0" w:rsidRDefault="00B01EA9" w:rsidP="00D55B70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1EA9">
        <w:rPr>
          <w:rFonts w:ascii="Arial" w:eastAsia="Times New Roman" w:hAnsi="Arial" w:cs="Arial"/>
          <w:sz w:val="24"/>
          <w:szCs w:val="24"/>
        </w:rPr>
        <w:t xml:space="preserve">Ensure equal access to this Service for people protected under The Equality Act 2010. </w:t>
      </w:r>
    </w:p>
    <w:tbl>
      <w:tblPr>
        <w:tblpPr w:leftFromText="180" w:rightFromText="180" w:vertAnchor="text" w:horzAnchor="margin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526"/>
      </w:tblGrid>
      <w:tr w:rsidR="00D55B70" w:rsidRPr="00D55B70" w:rsidTr="00D55B70"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D55B70" w:rsidRPr="00D55B70" w:rsidRDefault="00D55B70" w:rsidP="00D55B7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Service Outline</w:t>
            </w:r>
          </w:p>
        </w:tc>
      </w:tr>
      <w:tr w:rsidR="00D55B70" w:rsidRPr="00D55B70" w:rsidTr="007E26FD">
        <w:tc>
          <w:tcPr>
            <w:tcW w:w="2221" w:type="dxa"/>
            <w:vAlign w:val="center"/>
          </w:tcPr>
          <w:p w:rsidR="00D55B70" w:rsidRPr="00D55B70" w:rsidRDefault="00D55B70" w:rsidP="00D55B7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Criteria</w:t>
            </w:r>
          </w:p>
        </w:tc>
        <w:tc>
          <w:tcPr>
            <w:tcW w:w="7526" w:type="dxa"/>
            <w:vAlign w:val="center"/>
          </w:tcPr>
          <w:p w:rsidR="00D55B70" w:rsidRPr="00D55B70" w:rsidRDefault="00D55B70" w:rsidP="00D55B7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Statement</w:t>
            </w:r>
          </w:p>
        </w:tc>
      </w:tr>
      <w:tr w:rsidR="00D55B70" w:rsidRPr="00D55B70" w:rsidTr="007E26FD">
        <w:tc>
          <w:tcPr>
            <w:tcW w:w="2221" w:type="dxa"/>
            <w:vAlign w:val="center"/>
          </w:tcPr>
          <w:p w:rsidR="00D55B70" w:rsidRPr="00D55B70" w:rsidRDefault="00D55B70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Treatment model</w:t>
            </w:r>
          </w:p>
        </w:tc>
        <w:tc>
          <w:tcPr>
            <w:tcW w:w="7526" w:type="dxa"/>
            <w:vAlign w:val="center"/>
          </w:tcPr>
          <w:p w:rsidR="00D55B70" w:rsidRPr="00D55B70" w:rsidRDefault="00D55B70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Identify and work with </w:t>
            </w:r>
            <w:r w:rsidR="00457BDC">
              <w:rPr>
                <w:rFonts w:ascii="Arial" w:eastAsia="Times New Roman" w:hAnsi="Arial" w:cs="Arial"/>
                <w:kern w:val="28"/>
                <w:sz w:val="24"/>
                <w:szCs w:val="24"/>
              </w:rPr>
              <w:t>Service Users</w:t>
            </w:r>
            <w:r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who are motivated to stop smoking - this entails simple but efficient screening of </w:t>
            </w:r>
            <w:r w:rsidR="00457BDC">
              <w:rPr>
                <w:rFonts w:ascii="Arial" w:eastAsia="Times New Roman" w:hAnsi="Arial" w:cs="Arial"/>
                <w:kern w:val="28"/>
                <w:sz w:val="24"/>
                <w:szCs w:val="24"/>
              </w:rPr>
              <w:t>Service Users</w:t>
            </w:r>
            <w:r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to assess their motivation to quit.</w:t>
            </w:r>
          </w:p>
          <w:p w:rsidR="00D55B70" w:rsidRPr="00D55B70" w:rsidRDefault="002120EB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120EB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All </w:t>
            </w:r>
            <w:r w:rsidR="0040171E">
              <w:rPr>
                <w:rFonts w:ascii="Arial" w:eastAsia="Times New Roman" w:hAnsi="Arial" w:cs="Arial"/>
                <w:kern w:val="28"/>
                <w:sz w:val="24"/>
                <w:szCs w:val="24"/>
              </w:rPr>
              <w:t>Provider S</w:t>
            </w:r>
            <w:r w:rsidRPr="002120EB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taff </w:t>
            </w:r>
            <w:r w:rsidR="0040171E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engaged in delivery of the Services must </w:t>
            </w:r>
            <w:r w:rsidR="00743680">
              <w:rPr>
                <w:rFonts w:ascii="Arial" w:eastAsia="Times New Roman" w:hAnsi="Arial" w:cs="Arial"/>
                <w:kern w:val="28"/>
                <w:sz w:val="24"/>
                <w:szCs w:val="24"/>
              </w:rPr>
              <w:t>be skilled in offering</w:t>
            </w:r>
            <w:r w:rsidR="00743680" w:rsidRPr="002120EB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</w:t>
            </w:r>
            <w:r w:rsidR="00743680" w:rsidRPr="0074368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simple structured </w:t>
            </w:r>
            <w:r w:rsidR="0073407F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behavioural intervention </w:t>
            </w:r>
            <w:r w:rsidR="00743680" w:rsidRPr="0074368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advice </w:t>
            </w:r>
            <w:r w:rsidR="007F2D72">
              <w:rPr>
                <w:rFonts w:ascii="Arial" w:eastAsia="Times New Roman" w:hAnsi="Arial" w:cs="Arial"/>
                <w:kern w:val="28"/>
                <w:sz w:val="24"/>
                <w:szCs w:val="24"/>
              </w:rPr>
              <w:t>to Service Users</w:t>
            </w:r>
            <w:r w:rsidRPr="002120EB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and be encouraged to actively interact with patients who smoke to ensure robust referrals 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to </w:t>
            </w:r>
            <w:r w:rsidR="0047100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the Providers stop smoking </w:t>
            </w:r>
            <w:r w:rsidR="0040171E">
              <w:rPr>
                <w:rFonts w:ascii="Arial" w:eastAsia="Times New Roman" w:hAnsi="Arial" w:cs="Arial"/>
                <w:kern w:val="28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dvisor</w:t>
            </w:r>
            <w:r w:rsidR="00471000">
              <w:rPr>
                <w:rFonts w:ascii="Arial" w:eastAsia="Times New Roman" w:hAnsi="Arial" w:cs="Arial"/>
                <w:kern w:val="28"/>
                <w:sz w:val="24"/>
                <w:szCs w:val="24"/>
              </w:rPr>
              <w:t>(s)</w:t>
            </w:r>
            <w:r w:rsidRPr="002120EB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. </w:t>
            </w:r>
          </w:p>
          <w:p w:rsidR="00D55B70" w:rsidRPr="00D55B70" w:rsidRDefault="0040171E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lastRenderedPageBreak/>
              <w:t xml:space="preserve">The </w:t>
            </w:r>
            <w:r w:rsidR="001C3799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Provider 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must </w:t>
            </w:r>
            <w:r w:rsidR="001C3799">
              <w:rPr>
                <w:rFonts w:ascii="Arial" w:eastAsia="Times New Roman" w:hAnsi="Arial" w:cs="Arial"/>
                <w:kern w:val="28"/>
                <w:sz w:val="24"/>
                <w:szCs w:val="24"/>
              </w:rPr>
              <w:t>f</w:t>
            </w:r>
            <w:r w:rsidR="00D55B70"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>ollow the Tobacco Cessation Care Pathway for Community Pharmacies.</w:t>
            </w:r>
          </w:p>
          <w:p w:rsidR="00D55B70" w:rsidRPr="00D55B70" w:rsidRDefault="0040171E" w:rsidP="00D55B7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The Provider </w:t>
            </w:r>
            <w:r w:rsidR="00D55B70" w:rsidRPr="00D55B7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will:</w:t>
            </w:r>
          </w:p>
          <w:p w:rsidR="0073407F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Provide one or more ‘in-house’ Stop Smoking Advisers </w:t>
            </w:r>
            <w:r w:rsidR="004017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at the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Provider’s </w:t>
            </w:r>
            <w:r w:rsidR="007F2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address </w:t>
            </w:r>
            <w:r w:rsidR="0073407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as </w:t>
            </w:r>
            <w:r w:rsidR="007F65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named i</w:t>
            </w:r>
            <w:r w:rsidR="007F2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 the contract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It is a requirement that one of these </w:t>
            </w:r>
            <w:r w:rsidR="00EB56F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</w:t>
            </w:r>
            <w:r w:rsidRPr="00D55B7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dvisers is an accredited pharmacist.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Provide a confidential consultation area to allow for privacy during a consultation period.</w:t>
            </w:r>
          </w:p>
          <w:p w:rsidR="007F2D72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Discuss with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Service Users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the most appropriate form of pharmacotherapy.  Where Champix or Zyban are considered the most appropriate option the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Service User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will be referred to </w:t>
            </w:r>
            <w:r w:rsidR="007F2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their</w:t>
            </w:r>
            <w:r w:rsidR="00457B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G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eneral </w:t>
            </w:r>
            <w:r w:rsidR="00457B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</w:t>
            </w:r>
            <w:r w:rsidR="007F2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ractitioner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to obtain a prescription, but may continue to be supported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by the Provider. </w:t>
            </w:r>
          </w:p>
          <w:p w:rsidR="00D55B70" w:rsidRPr="00D55B70" w:rsidRDefault="00EB56F4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Ensure that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Nicotine Replacement Therapy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will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 prescribed for at least 4 weeks and up to 12 weeks, as recommended under NICE guidance.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Ensure that P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rovider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led supply of Nicotine Replacement Therapy is issued using a Patient Group Direction (PGD) for all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Service </w:t>
            </w:r>
            <w:proofErr w:type="gramStart"/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Users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proofErr w:type="gramEnd"/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Sign to confirm that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ha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read and understood the PGD for NRT and this Service Specification, in order to provide support to the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Provider A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dviser/s.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Have weekly contact with every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Service User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attempting to quit during the first 4 weeks of the quit programme.</w:t>
            </w:r>
            <w:r w:rsidRPr="00D55B7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Continue support where appropriate for up to 12 weeks.  In exceptional cases this may be extended to 36 weeks.</w:t>
            </w:r>
          </w:p>
          <w:p w:rsidR="001C3799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Unsuccessful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Service User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quitters may be seen again provided this follows the guidelines </w:t>
            </w:r>
            <w:r w:rsidR="00DE66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</w:t>
            </w:r>
            <w:r w:rsidR="00DE662D"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the</w:t>
            </w:r>
            <w:r w:rsidR="00DE66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73407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‘</w:t>
            </w:r>
            <w:r w:rsidR="00DE66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 Centre for Smoking Cessation and Training</w:t>
            </w:r>
            <w:r w:rsidR="00DE662D">
              <w:t xml:space="preserve"> </w:t>
            </w:r>
            <w:r w:rsidR="00DE662D" w:rsidRPr="00DE66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Local Stop Smoking Services</w:t>
            </w:r>
            <w:r w:rsidR="00DE66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: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Service Delivery and Monitoring Guidance</w:t>
            </w:r>
            <w:r w:rsidR="0073407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’ which can be accessed here</w:t>
            </w:r>
            <w:r w:rsidR="00DE66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DE662D" w:rsidRPr="00DE662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/>
                </w:rPr>
                <w:t>NCSCT Guidance</w:t>
              </w:r>
            </w:hyperlink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 ’quitter’ is defined as a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Service User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who has stopped smoking for four weeks or more. </w:t>
            </w:r>
            <w:proofErr w:type="gramStart"/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Four week</w:t>
            </w:r>
            <w:proofErr w:type="gramEnd"/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smoking status must be established between 25 and 42 days after the agreed quit date.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Make at least two attempts to contact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ost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ollow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up </w:t>
            </w:r>
            <w:r w:rsidR="00B001DB" w:rsidRPr="00B001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(LTF), </w:t>
            </w:r>
            <w:r w:rsidR="00B001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Service Users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 determine whether they have ach</w:t>
            </w:r>
            <w:r w:rsidR="00457B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ieved a four-week quit or not. </w:t>
            </w:r>
          </w:p>
          <w:p w:rsidR="00D55B70" w:rsidRPr="00D55B70" w:rsidRDefault="00D55B70" w:rsidP="00A16FA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Refer any 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Service User </w:t>
            </w:r>
            <w:r w:rsidR="00A16F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that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would benefit from more intensive specialist support than can be offered</w:t>
            </w:r>
            <w:r w:rsidR="00EB56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by the </w:t>
            </w:r>
            <w:r w:rsidR="00DE66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Provider 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the</w:t>
            </w:r>
            <w:r w:rsidR="00DE66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Gloucestershire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Healthy Lifestyles Service. This </w:t>
            </w:r>
            <w:r w:rsidR="00A16F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will include pregnant women,</w:t>
            </w:r>
            <w:r w:rsidR="00A16FAE">
              <w:t xml:space="preserve"> </w:t>
            </w:r>
            <w:r w:rsidR="00A16FAE" w:rsidRPr="00A16F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adolescents and Service Users under 12 years of age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r w:rsidR="00A16F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Service Users</w:t>
            </w:r>
            <w:r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with mental health problems or learning difficulties and people who are heavily addicted to nicotine.</w:t>
            </w:r>
          </w:p>
        </w:tc>
      </w:tr>
      <w:tr w:rsidR="00D55B70" w:rsidRPr="00D55B70" w:rsidTr="007E26FD">
        <w:tblPrEx>
          <w:tblLook w:val="0000" w:firstRow="0" w:lastRow="0" w:firstColumn="0" w:lastColumn="0" w:noHBand="0" w:noVBand="0"/>
        </w:tblPrEx>
        <w:tc>
          <w:tcPr>
            <w:tcW w:w="2221" w:type="dxa"/>
            <w:vAlign w:val="center"/>
          </w:tcPr>
          <w:p w:rsidR="00D55B70" w:rsidRPr="00D55B70" w:rsidRDefault="00D55B70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lastRenderedPageBreak/>
              <w:t>Meeting Targets</w:t>
            </w:r>
          </w:p>
        </w:tc>
        <w:tc>
          <w:tcPr>
            <w:tcW w:w="7526" w:type="dxa"/>
            <w:vAlign w:val="center"/>
          </w:tcPr>
          <w:p w:rsidR="00D55B70" w:rsidRPr="00D55B70" w:rsidRDefault="00192A1B" w:rsidP="003C1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Provider </w:t>
            </w:r>
            <w:r w:rsidR="003C1662">
              <w:rPr>
                <w:rFonts w:ascii="Arial" w:eastAsia="Times New Roman" w:hAnsi="Arial" w:cs="Arial"/>
                <w:sz w:val="24"/>
                <w:szCs w:val="24"/>
              </w:rPr>
              <w:t>will achieve a</w:t>
            </w:r>
            <w:r w:rsidR="007662C4">
              <w:rPr>
                <w:rFonts w:ascii="Arial" w:eastAsia="Times New Roman" w:hAnsi="Arial" w:cs="Arial"/>
                <w:sz w:val="24"/>
                <w:szCs w:val="24"/>
              </w:rPr>
              <w:t xml:space="preserve"> target of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at least a 45% four-week quit success rate, of which 85% should be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Carbon Monoxide (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>CO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verified. </w:t>
            </w:r>
          </w:p>
        </w:tc>
      </w:tr>
      <w:tr w:rsidR="00D55B70" w:rsidRPr="00D55B70" w:rsidTr="007E26FD">
        <w:tblPrEx>
          <w:tblLook w:val="0000" w:firstRow="0" w:lastRow="0" w:firstColumn="0" w:lastColumn="0" w:noHBand="0" w:noVBand="0"/>
        </w:tblPrEx>
        <w:tc>
          <w:tcPr>
            <w:tcW w:w="2221" w:type="dxa"/>
            <w:vAlign w:val="center"/>
          </w:tcPr>
          <w:p w:rsidR="00D55B70" w:rsidRPr="00D55B70" w:rsidRDefault="00D55B70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lastRenderedPageBreak/>
              <w:t>Guidance</w:t>
            </w:r>
          </w:p>
        </w:tc>
        <w:tc>
          <w:tcPr>
            <w:tcW w:w="7526" w:type="dxa"/>
            <w:vAlign w:val="center"/>
          </w:tcPr>
          <w:p w:rsidR="00D55B70" w:rsidRPr="00D55B70" w:rsidRDefault="00192A1B" w:rsidP="00D55B70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Provider shall ensure that a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dvisers carry out ‘one to one’ smoking interventions with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Service Users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according to the ‘Local Stop Smoking Services: Service Delivery and Monitoring Guidance 2014 (PHE, 2014)’, NICE guidance Public health guideline [PH10] &amp; NICE Quality standard [QS43].  </w:t>
            </w:r>
          </w:p>
          <w:p w:rsidR="00D55B70" w:rsidRPr="00D55B70" w:rsidRDefault="00D55B70" w:rsidP="00D55B70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The Provider will comply with the General Pharmaceutical Council standards of conduct, ethics and performance at all times</w:t>
            </w:r>
          </w:p>
        </w:tc>
      </w:tr>
      <w:tr w:rsidR="00D55B70" w:rsidRPr="00D55B70" w:rsidTr="007E26FD">
        <w:tblPrEx>
          <w:tblLook w:val="0000" w:firstRow="0" w:lastRow="0" w:firstColumn="0" w:lastColumn="0" w:noHBand="0" w:noVBand="0"/>
        </w:tblPrEx>
        <w:tc>
          <w:tcPr>
            <w:tcW w:w="2221" w:type="dxa"/>
            <w:vAlign w:val="center"/>
          </w:tcPr>
          <w:p w:rsidR="00D55B70" w:rsidRPr="00D55B70" w:rsidRDefault="00D55B70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Consent</w:t>
            </w:r>
          </w:p>
        </w:tc>
        <w:tc>
          <w:tcPr>
            <w:tcW w:w="7526" w:type="dxa"/>
            <w:vAlign w:val="center"/>
          </w:tcPr>
          <w:p w:rsidR="00D55B70" w:rsidRPr="00D55B70" w:rsidRDefault="00192A1B" w:rsidP="00192A1B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The Provider shall ensure that all </w:t>
            </w:r>
            <w:r w:rsidR="00D55B70"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Service 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U</w:t>
            </w:r>
            <w:r w:rsidR="00D55B70"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sers 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are </w:t>
            </w:r>
            <w:r w:rsidR="00D55B70"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provided with sufficient information to enable them to make informed choices </w:t>
            </w:r>
          </w:p>
        </w:tc>
      </w:tr>
      <w:tr w:rsidR="00D55B70" w:rsidRPr="00D55B70" w:rsidTr="007E26FD">
        <w:tblPrEx>
          <w:tblLook w:val="0000" w:firstRow="0" w:lastRow="0" w:firstColumn="0" w:lastColumn="0" w:noHBand="0" w:noVBand="0"/>
        </w:tblPrEx>
        <w:tc>
          <w:tcPr>
            <w:tcW w:w="2221" w:type="dxa"/>
            <w:vAlign w:val="center"/>
          </w:tcPr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Audit and Data activity requirements </w:t>
            </w:r>
          </w:p>
        </w:tc>
        <w:tc>
          <w:tcPr>
            <w:tcW w:w="7526" w:type="dxa"/>
            <w:vAlign w:val="center"/>
          </w:tcPr>
          <w:p w:rsidR="00D55B70" w:rsidRPr="00D55B70" w:rsidRDefault="00D55B70" w:rsidP="00360F2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It is </w:t>
            </w:r>
            <w:r w:rsidRPr="00457BDC">
              <w:rPr>
                <w:rFonts w:ascii="Arial" w:eastAsia="Times New Roman" w:hAnsi="Arial" w:cs="Arial"/>
                <w:b/>
                <w:sz w:val="24"/>
                <w:szCs w:val="24"/>
              </w:rPr>
              <w:t>mandatory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for the Provider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to maintain monitoring records in the QuitManager computer system for ALL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Service Users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who make a quit attempt.  This is regardless of quit status and regardless of which form of treatment has been prescribed.  </w:t>
            </w:r>
          </w:p>
          <w:p w:rsidR="00D55B70" w:rsidRPr="00D55B70" w:rsidRDefault="00D55B70" w:rsidP="00360F2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Access will be given to all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Provider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stop smoking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dvisers to the QuitManager system </w:t>
            </w:r>
            <w:proofErr w:type="gramStart"/>
            <w:r w:rsidRPr="00D55B70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gramEnd"/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intuitive interface collects all requirements of the DH Gold Standard Monitoring Form and in addition will alert th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ose </w:t>
            </w:r>
            <w:r w:rsidR="00B16F6A">
              <w:rPr>
                <w:rFonts w:ascii="Arial" w:eastAsia="Times New Roman" w:hAnsi="Arial" w:cs="Arial"/>
                <w:sz w:val="24"/>
                <w:szCs w:val="24"/>
              </w:rPr>
              <w:t>using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 the system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Service User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call-backs and follow-ups which will be timesaving and efficient. </w:t>
            </w:r>
          </w:p>
          <w:p w:rsidR="00D55B70" w:rsidRPr="00D55B70" w:rsidRDefault="00192A1B" w:rsidP="00360F2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Provider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must ensure that postcodes are included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 the input data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>to enable monitoring of provision to deprived areas (this is also a valuable feature of QuitManager, which allows postcode look-ups and will alert the system administrator if falling within a super output area of significant deprivation thereby ensuring correct enhanced payments</w:t>
            </w:r>
            <w:r w:rsidR="00DB0A53">
              <w:rPr>
                <w:rFonts w:ascii="Arial" w:eastAsia="Times New Roman" w:hAnsi="Arial" w:cs="Arial"/>
                <w:sz w:val="24"/>
                <w:szCs w:val="24"/>
              </w:rPr>
              <w:t xml:space="preserve"> are made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:rsidR="00D55B70" w:rsidRPr="00D55B70" w:rsidRDefault="00D55B70" w:rsidP="00360F2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Data from the QuitManager system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used to report smoking cessation activity across the county.  Activity is reported quarterly and annually in line with the Council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s performance monitoring requirements.  The Council is also responsible for reporting this information to NHS Digital on a quarterly basis</w:t>
            </w:r>
          </w:p>
          <w:p w:rsidR="00D55B70" w:rsidRPr="00D55B70" w:rsidRDefault="00D55B70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>Data submitted via the QuitManager database must be:</w:t>
            </w:r>
          </w:p>
          <w:p w:rsidR="00D55B70" w:rsidRPr="00D55B70" w:rsidRDefault="00D55B70" w:rsidP="00D55B70">
            <w:pPr>
              <w:keepNext/>
              <w:numPr>
                <w:ilvl w:val="0"/>
                <w:numId w:val="9"/>
              </w:numPr>
              <w:spacing w:before="120" w:after="120" w:line="240" w:lineRule="auto"/>
              <w:ind w:left="473" w:hanging="426"/>
              <w:contextualSpacing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>accurately completed</w:t>
            </w:r>
          </w:p>
          <w:p w:rsidR="00D55B70" w:rsidRPr="00D55B70" w:rsidRDefault="00D55B70" w:rsidP="00D55B70">
            <w:pPr>
              <w:keepNext/>
              <w:numPr>
                <w:ilvl w:val="0"/>
                <w:numId w:val="9"/>
              </w:numPr>
              <w:spacing w:before="120" w:after="120" w:line="240" w:lineRule="auto"/>
              <w:ind w:left="473" w:hanging="426"/>
              <w:contextualSpacing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CO verified </w:t>
            </w:r>
          </w:p>
          <w:p w:rsidR="00D55B70" w:rsidRDefault="00D55B70" w:rsidP="00D55B70">
            <w:pPr>
              <w:keepNext/>
              <w:numPr>
                <w:ilvl w:val="0"/>
                <w:numId w:val="9"/>
              </w:numPr>
              <w:spacing w:before="120" w:after="120" w:line="240" w:lineRule="auto"/>
              <w:ind w:left="473" w:hanging="426"/>
              <w:contextualSpacing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>Inputted within</w:t>
            </w:r>
            <w:r w:rsidR="007221F9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2 days of quarter end. </w:t>
            </w:r>
            <w:r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</w:t>
            </w:r>
          </w:p>
          <w:p w:rsidR="00360F2E" w:rsidRPr="00D55B70" w:rsidRDefault="00360F2E" w:rsidP="00360F2E">
            <w:pPr>
              <w:keepNext/>
              <w:spacing w:before="120" w:after="120" w:line="240" w:lineRule="auto"/>
              <w:ind w:left="47"/>
              <w:contextualSpacing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D55B70" w:rsidRPr="00D55B70" w:rsidRDefault="00192A1B" w:rsidP="00B16F6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Service User </w:t>
            </w:r>
            <w:r w:rsidR="00D55B70" w:rsidRPr="00360F2E">
              <w:rPr>
                <w:rFonts w:ascii="Arial" w:eastAsia="Times New Roman" w:hAnsi="Arial" w:cs="Arial"/>
                <w:sz w:val="24"/>
                <w:szCs w:val="24"/>
              </w:rPr>
              <w:t>smoking status will be recorded in the pat</w:t>
            </w:r>
            <w:r w:rsidR="008C7735">
              <w:rPr>
                <w:rFonts w:ascii="Arial" w:eastAsia="Times New Roman" w:hAnsi="Arial" w:cs="Arial"/>
                <w:sz w:val="24"/>
                <w:szCs w:val="24"/>
              </w:rPr>
              <w:t>ients’ Patient Medication R</w:t>
            </w:r>
            <w:r w:rsidR="00B16F6A">
              <w:rPr>
                <w:rFonts w:ascii="Arial" w:eastAsia="Times New Roman" w:hAnsi="Arial" w:cs="Arial"/>
                <w:sz w:val="24"/>
                <w:szCs w:val="24"/>
              </w:rPr>
              <w:t>ecord (</w:t>
            </w:r>
            <w:r w:rsidR="00B16F6A" w:rsidRPr="00B16F6A">
              <w:rPr>
                <w:rFonts w:ascii="Arial" w:eastAsia="Times New Roman" w:hAnsi="Arial" w:cs="Arial"/>
                <w:sz w:val="24"/>
                <w:szCs w:val="24"/>
              </w:rPr>
              <w:t>PMR</w:t>
            </w:r>
            <w:r w:rsidR="00B16F6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B16F6A" w:rsidRPr="00B16F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by the Provider </w:t>
            </w:r>
            <w:r w:rsidR="00D55B70" w:rsidRPr="00360F2E">
              <w:rPr>
                <w:rFonts w:ascii="Arial" w:eastAsia="Times New Roman" w:hAnsi="Arial" w:cs="Arial"/>
                <w:sz w:val="24"/>
                <w:szCs w:val="24"/>
              </w:rPr>
              <w:t>with date when ascertained</w:t>
            </w:r>
          </w:p>
        </w:tc>
      </w:tr>
      <w:tr w:rsidR="00D55B70" w:rsidRPr="00D55B70" w:rsidTr="007E26FD">
        <w:tblPrEx>
          <w:tblLook w:val="0000" w:firstRow="0" w:lastRow="0" w:firstColumn="0" w:lastColumn="0" w:noHBand="0" w:noVBand="0"/>
        </w:tblPrEx>
        <w:tc>
          <w:tcPr>
            <w:tcW w:w="2221" w:type="dxa"/>
            <w:vAlign w:val="center"/>
          </w:tcPr>
          <w:p w:rsidR="00D55B70" w:rsidRPr="00D55B70" w:rsidRDefault="00DB0A53" w:rsidP="00DB0A53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Pharmacy</w:t>
            </w:r>
            <w:r w:rsidR="00D55B70" w:rsidRPr="00D55B70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 xml:space="preserve"> Protocol</w:t>
            </w:r>
          </w:p>
        </w:tc>
        <w:tc>
          <w:tcPr>
            <w:tcW w:w="7526" w:type="dxa"/>
            <w:vAlign w:val="center"/>
          </w:tcPr>
          <w:p w:rsidR="00D55B70" w:rsidRPr="00D55B70" w:rsidRDefault="00192A1B" w:rsidP="007221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The Provider must</w:t>
            </w:r>
            <w:r w:rsidR="00D55B70" w:rsidRPr="00D55B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have a protocol that they follow for smoking cessation. This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must </w:t>
            </w:r>
            <w:r w:rsidR="00D55B70" w:rsidRPr="00D55B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be shared with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Council </w:t>
            </w:r>
            <w:r w:rsidR="00D55B70" w:rsidRPr="00D55B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on request. The protocol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must </w:t>
            </w:r>
            <w:r w:rsidR="00D55B70" w:rsidRPr="00D55B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Provider </w:t>
            </w:r>
            <w:r w:rsidR="00D55B70" w:rsidRPr="00D55B70">
              <w:rPr>
                <w:rFonts w:ascii="Arial" w:eastAsia="Times New Roman" w:hAnsi="Arial" w:cs="Arial"/>
                <w:bCs/>
                <w:sz w:val="24"/>
                <w:szCs w:val="24"/>
              </w:rPr>
              <w:t>specific although it can be based on centrally produced support documents.</w:t>
            </w:r>
          </w:p>
        </w:tc>
      </w:tr>
      <w:tr w:rsidR="00D55B70" w:rsidRPr="00D55B70" w:rsidTr="007E26FD">
        <w:tblPrEx>
          <w:tblLook w:val="0000" w:firstRow="0" w:lastRow="0" w:firstColumn="0" w:lastColumn="0" w:noHBand="0" w:noVBand="0"/>
        </w:tblPrEx>
        <w:tc>
          <w:tcPr>
            <w:tcW w:w="2221" w:type="dxa"/>
            <w:vAlign w:val="center"/>
          </w:tcPr>
          <w:p w:rsidR="00D55B70" w:rsidRPr="00D55B70" w:rsidRDefault="00D55B70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Equipment</w:t>
            </w:r>
          </w:p>
        </w:tc>
        <w:tc>
          <w:tcPr>
            <w:tcW w:w="7526" w:type="dxa"/>
            <w:vAlign w:val="center"/>
          </w:tcPr>
          <w:p w:rsidR="00D55B70" w:rsidRPr="00D55B70" w:rsidRDefault="00192A1B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The Provider shall use </w:t>
            </w:r>
            <w:r w:rsidR="00D55B70"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equipment that is safe; fit for purpose; regularly maintained and calibrated; used and stored in accordance </w:t>
            </w:r>
            <w:r w:rsidR="00D55B70" w:rsidRPr="00D55B70">
              <w:rPr>
                <w:rFonts w:ascii="Arial" w:eastAsia="Times New Roman" w:hAnsi="Arial" w:cs="Arial"/>
                <w:kern w:val="28"/>
                <w:sz w:val="24"/>
                <w:szCs w:val="24"/>
              </w:rPr>
              <w:lastRenderedPageBreak/>
              <w:t>with the manufacturer’s instructions; complying with infection control and decontamination guidelines/policies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in delivering the Services throughout the Contract Period.</w:t>
            </w:r>
          </w:p>
          <w:p w:rsidR="00D55B70" w:rsidRPr="00D55B70" w:rsidRDefault="00D55B70" w:rsidP="00192A1B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 xml:space="preserve">It is the responsibility of the </w:t>
            </w:r>
            <w:r w:rsidR="00192A1B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 xml:space="preserve">Provider </w:t>
            </w:r>
            <w:r w:rsidRPr="00D55B70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to replace or repair CO monitors and associated equipment and to ensure that monitors are calibrated on a regular basis</w:t>
            </w:r>
          </w:p>
        </w:tc>
      </w:tr>
      <w:tr w:rsidR="00D55B70" w:rsidRPr="00D55B70" w:rsidTr="007E26FD">
        <w:tblPrEx>
          <w:tblLook w:val="0000" w:firstRow="0" w:lastRow="0" w:firstColumn="0" w:lastColumn="0" w:noHBand="0" w:noVBand="0"/>
        </w:tblPrEx>
        <w:tc>
          <w:tcPr>
            <w:tcW w:w="2221" w:type="dxa"/>
            <w:vAlign w:val="center"/>
          </w:tcPr>
          <w:p w:rsidR="00D55B70" w:rsidRPr="00D55B70" w:rsidRDefault="00D55B70" w:rsidP="00D55B70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lastRenderedPageBreak/>
              <w:t>Risk Management</w:t>
            </w:r>
          </w:p>
        </w:tc>
        <w:tc>
          <w:tcPr>
            <w:tcW w:w="7526" w:type="dxa"/>
            <w:vAlign w:val="center"/>
          </w:tcPr>
          <w:p w:rsidR="00D55B70" w:rsidRPr="00D55B70" w:rsidRDefault="00192A1B" w:rsidP="00D55B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Provider shall h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>ave a robust Risk Management procedure including compliance with National Patient Safety Alerts (NPSA)</w:t>
            </w:r>
          </w:p>
        </w:tc>
      </w:tr>
      <w:tr w:rsidR="00D55B70" w:rsidRPr="00D55B70" w:rsidTr="007E26FD">
        <w:tblPrEx>
          <w:tblLook w:val="0000" w:firstRow="0" w:lastRow="0" w:firstColumn="0" w:lastColumn="0" w:noHBand="0" w:noVBand="0"/>
        </w:tblPrEx>
        <w:tc>
          <w:tcPr>
            <w:tcW w:w="2221" w:type="dxa"/>
            <w:vAlign w:val="center"/>
          </w:tcPr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b/>
                <w:sz w:val="24"/>
                <w:szCs w:val="24"/>
              </w:rPr>
              <w:t>Staff Training and Supervision</w:t>
            </w:r>
          </w:p>
        </w:tc>
        <w:tc>
          <w:tcPr>
            <w:tcW w:w="7526" w:type="dxa"/>
            <w:vAlign w:val="center"/>
          </w:tcPr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The accredited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>Provider A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dviser will have successfully completed </w:t>
            </w:r>
            <w:r w:rsidRPr="00D55B70">
              <w:rPr>
                <w:rFonts w:ascii="Arial" w:eastAsia="Times New Roman" w:hAnsi="Arial" w:cs="Arial"/>
                <w:b/>
                <w:sz w:val="24"/>
                <w:szCs w:val="24"/>
              </w:rPr>
              <w:t>either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the CPPE smoking cessation course (part 1/ part 2) </w:t>
            </w:r>
            <w:r w:rsidRPr="00D55B70">
              <w:rPr>
                <w:rFonts w:ascii="Arial" w:eastAsia="Times New Roman" w:hAnsi="Arial" w:cs="Arial"/>
                <w:b/>
                <w:sz w:val="24"/>
                <w:szCs w:val="24"/>
              </w:rPr>
              <w:t>or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the NCSCT stage 1 online training programme.  In addition to the online training,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dvisors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also attend face-to-face smoking cessation training provided by the Healthy Lifestyles Service.  This training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be updated</w:t>
            </w:r>
            <w:r w:rsidR="00DB0A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B0A53" w:rsidRPr="00DB0A53">
              <w:rPr>
                <w:rFonts w:ascii="Arial" w:eastAsia="Times New Roman" w:hAnsi="Arial" w:cs="Arial"/>
                <w:sz w:val="24"/>
                <w:szCs w:val="24"/>
              </w:rPr>
              <w:t>biennially.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 xml:space="preserve">Provider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non-pharmacist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top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moking Advisers (and </w:t>
            </w:r>
            <w:proofErr w:type="gramStart"/>
            <w:r w:rsidRPr="00D55B70">
              <w:rPr>
                <w:rFonts w:ascii="Arial" w:eastAsia="Times New Roman" w:hAnsi="Arial" w:cs="Arial"/>
                <w:sz w:val="24"/>
                <w:szCs w:val="24"/>
              </w:rPr>
              <w:t>non accredited</w:t>
            </w:r>
            <w:proofErr w:type="gramEnd"/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pharmacists) will have completed the relevant National Centre for Smoking Cessation and Training (NCSCT) on-line training course and have obtained full NCSCT certification.  In addition to the online training </w:t>
            </w:r>
            <w:r w:rsidR="00192A1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dvisors will also attend face-to-face smoking cessation training provided by the Healthy Lifestyles Service.  This training </w:t>
            </w:r>
            <w:r w:rsidR="00D87F7B">
              <w:rPr>
                <w:rFonts w:ascii="Arial" w:eastAsia="Times New Roman" w:hAnsi="Arial" w:cs="Arial"/>
                <w:sz w:val="24"/>
                <w:szCs w:val="24"/>
              </w:rPr>
              <w:t>must</w:t>
            </w:r>
            <w:r w:rsidR="00D87F7B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be updated</w:t>
            </w:r>
            <w:r w:rsidR="00AD0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D0661" w:rsidRPr="00AD0661">
              <w:rPr>
                <w:rFonts w:ascii="Arial" w:eastAsia="Times New Roman" w:hAnsi="Arial" w:cs="Arial"/>
                <w:sz w:val="24"/>
                <w:szCs w:val="24"/>
              </w:rPr>
              <w:t>biennially.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CPPE and/or NCSCT certificates must be provided to the Council on request.</w:t>
            </w:r>
          </w:p>
          <w:p w:rsidR="00D55B70" w:rsidRPr="00D55B70" w:rsidRDefault="00D55B70" w:rsidP="00D55B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No payment is offered for any training undertaken by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Provider 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taff.</w:t>
            </w:r>
          </w:p>
          <w:p w:rsidR="00D55B70" w:rsidRPr="00D55B70" w:rsidRDefault="00D55B70" w:rsidP="00D55B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All relevant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taff will have an annual appraisal and Personal Development Plan which will also include any extended role being performed</w:t>
            </w:r>
          </w:p>
          <w:p w:rsidR="00D55B70" w:rsidRPr="00D55B70" w:rsidRDefault="00D87F7B" w:rsidP="00D55B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Advisors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will adhere to their individual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ode of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>onduct</w:t>
            </w:r>
          </w:p>
          <w:p w:rsidR="00D55B70" w:rsidRPr="00D55B70" w:rsidRDefault="00D87F7B" w:rsidP="00D55B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Advisors </w:t>
            </w:r>
            <w:r w:rsidR="00D55B70" w:rsidRPr="00D55B70">
              <w:rPr>
                <w:rFonts w:ascii="Arial" w:eastAsia="Times New Roman" w:hAnsi="Arial" w:cs="Arial"/>
                <w:sz w:val="24"/>
                <w:szCs w:val="24"/>
              </w:rPr>
              <w:t>must be accredited against an agreed competency framework (where in existence) or against other competency frameworks as appropriate.</w:t>
            </w:r>
          </w:p>
          <w:p w:rsidR="00D55B70" w:rsidRPr="00D55B70" w:rsidRDefault="00D55B70" w:rsidP="00D55B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Employment checks will be carried out for all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taff delivering this service on behalf of the Provider and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taff must:</w:t>
            </w:r>
          </w:p>
          <w:p w:rsidR="00D55B70" w:rsidRPr="00D55B70" w:rsidRDefault="00D55B70" w:rsidP="00D55B70">
            <w:pPr>
              <w:numPr>
                <w:ilvl w:val="0"/>
                <w:numId w:val="8"/>
              </w:numPr>
              <w:tabs>
                <w:tab w:val="num" w:pos="856"/>
              </w:tabs>
              <w:autoSpaceDE w:val="0"/>
              <w:autoSpaceDN w:val="0"/>
              <w:adjustRightInd w:val="0"/>
              <w:spacing w:before="120" w:after="120" w:line="240" w:lineRule="auto"/>
              <w:ind w:left="856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Be registered with an appropriate professional body if appropriate </w:t>
            </w:r>
          </w:p>
          <w:p w:rsidR="00D55B70" w:rsidRPr="00D55B70" w:rsidRDefault="00D55B70" w:rsidP="00D55B70">
            <w:pPr>
              <w:numPr>
                <w:ilvl w:val="0"/>
                <w:numId w:val="8"/>
              </w:numPr>
              <w:tabs>
                <w:tab w:val="num" w:pos="856"/>
              </w:tabs>
              <w:autoSpaceDE w:val="0"/>
              <w:autoSpaceDN w:val="0"/>
              <w:adjustRightInd w:val="0"/>
              <w:spacing w:before="120" w:after="120" w:line="240" w:lineRule="auto"/>
              <w:ind w:left="856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Have the relevant qualifications, experience and skills to perform the required duties and </w:t>
            </w:r>
            <w:r w:rsidR="003B4E94">
              <w:rPr>
                <w:rFonts w:ascii="Arial" w:eastAsia="Times New Roman" w:hAnsi="Arial" w:cs="Arial"/>
                <w:sz w:val="24"/>
                <w:szCs w:val="24"/>
              </w:rPr>
              <w:t>have been assessed as competent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55B70" w:rsidRPr="00D55B70" w:rsidRDefault="00D55B70" w:rsidP="00D55B70">
            <w:pPr>
              <w:numPr>
                <w:ilvl w:val="0"/>
                <w:numId w:val="8"/>
              </w:numPr>
              <w:tabs>
                <w:tab w:val="num" w:pos="856"/>
              </w:tabs>
              <w:autoSpaceDE w:val="0"/>
              <w:autoSpaceDN w:val="0"/>
              <w:adjustRightInd w:val="0"/>
              <w:spacing w:before="120" w:after="120" w:line="240" w:lineRule="auto"/>
              <w:ind w:left="856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Have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registration with Disclosure and Barring Services </w:t>
            </w:r>
          </w:p>
          <w:p w:rsidR="00D55B70" w:rsidRPr="00D55B70" w:rsidRDefault="00D55B70" w:rsidP="00D55B70">
            <w:pPr>
              <w:numPr>
                <w:ilvl w:val="0"/>
                <w:numId w:val="8"/>
              </w:numPr>
              <w:tabs>
                <w:tab w:val="num" w:pos="856"/>
              </w:tabs>
              <w:autoSpaceDE w:val="0"/>
              <w:autoSpaceDN w:val="0"/>
              <w:adjustRightInd w:val="0"/>
              <w:spacing w:before="120" w:after="120" w:line="240" w:lineRule="auto"/>
              <w:ind w:left="856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Attend appropriate Mandatory training including Safeguarding Children and Vulnerable Adults</w:t>
            </w:r>
          </w:p>
          <w:p w:rsidR="00D55B70" w:rsidRPr="00D55B70" w:rsidRDefault="00D55B70" w:rsidP="00D55B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taff will be covered by adequate indemnity insurance for the provision of the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 xml:space="preserve"> in accordance with Clauses 35 and 36 of the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Contract.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55B70" w:rsidRPr="00D55B70" w:rsidRDefault="00D55B70" w:rsidP="00D55B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 system and appropriate procedures will be in place to identify and manage poorly performing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taff</w:t>
            </w:r>
            <w:r w:rsidR="003B4E9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55B70" w:rsidRPr="00D55B70" w:rsidRDefault="00D55B70" w:rsidP="006C20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taff will be made aware of and have access to a system which will enable them to raise, in confidence and without prejudice to their position in the organisation, concerns over any aspect of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 xml:space="preserve">ervice delivery, treatment or management that they consider to have detrimental effect on </w:t>
            </w:r>
            <w:r w:rsidR="006C2059">
              <w:rPr>
                <w:rFonts w:ascii="Arial" w:eastAsia="Times New Roman" w:hAnsi="Arial" w:cs="Arial"/>
                <w:sz w:val="24"/>
                <w:szCs w:val="24"/>
              </w:rPr>
              <w:t xml:space="preserve">Service User </w:t>
            </w:r>
            <w:r w:rsidRPr="00D55B70">
              <w:rPr>
                <w:rFonts w:ascii="Arial" w:eastAsia="Times New Roman" w:hAnsi="Arial" w:cs="Arial"/>
                <w:sz w:val="24"/>
                <w:szCs w:val="24"/>
              </w:rPr>
              <w:t>care or the delivery of Services</w:t>
            </w:r>
          </w:p>
        </w:tc>
      </w:tr>
    </w:tbl>
    <w:p w:rsidR="00B17497" w:rsidRPr="00B17497" w:rsidRDefault="00B17497" w:rsidP="00B1749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17497" w:rsidRPr="00B17497" w:rsidRDefault="00B17497" w:rsidP="00B1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17497">
        <w:rPr>
          <w:rFonts w:ascii="Arial" w:eastAsia="Times New Roman" w:hAnsi="Arial" w:cs="Arial"/>
          <w:b/>
          <w:bCs/>
          <w:sz w:val="24"/>
          <w:szCs w:val="24"/>
        </w:rPr>
        <w:t xml:space="preserve">Remuneration </w:t>
      </w:r>
    </w:p>
    <w:p w:rsidR="00B17497" w:rsidRPr="00B17497" w:rsidRDefault="00B17497" w:rsidP="00B174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7497" w:rsidRPr="00B17497" w:rsidRDefault="00B17497" w:rsidP="00E649E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 xml:space="preserve">All payments will be made quarterly in arrears. </w:t>
      </w:r>
    </w:p>
    <w:p w:rsidR="00B17497" w:rsidRPr="00B17497" w:rsidRDefault="00B17497" w:rsidP="00B174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 xml:space="preserve">£5.00 will be paid for each </w:t>
      </w:r>
      <w:r w:rsidR="006C2059">
        <w:rPr>
          <w:rFonts w:ascii="Arial" w:eastAsia="Times New Roman" w:hAnsi="Arial" w:cs="Arial"/>
          <w:sz w:val="24"/>
          <w:szCs w:val="24"/>
        </w:rPr>
        <w:t>Service User</w:t>
      </w:r>
      <w:r w:rsidRPr="00B17497">
        <w:rPr>
          <w:rFonts w:ascii="Arial" w:eastAsia="Times New Roman" w:hAnsi="Arial" w:cs="Arial"/>
          <w:sz w:val="24"/>
          <w:szCs w:val="24"/>
        </w:rPr>
        <w:t xml:space="preserve"> setting a quit date </w:t>
      </w:r>
    </w:p>
    <w:p w:rsidR="00B17497" w:rsidRPr="00B17497" w:rsidRDefault="00B17497" w:rsidP="00B174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 xml:space="preserve">£45.00 will be paid for each successful </w:t>
      </w:r>
      <w:proofErr w:type="gramStart"/>
      <w:r w:rsidRPr="00B17497">
        <w:rPr>
          <w:rFonts w:ascii="Arial" w:eastAsia="Times New Roman" w:hAnsi="Arial" w:cs="Arial"/>
          <w:sz w:val="24"/>
          <w:szCs w:val="24"/>
        </w:rPr>
        <w:t>four week</w:t>
      </w:r>
      <w:proofErr w:type="gramEnd"/>
      <w:r w:rsidRPr="00B17497">
        <w:rPr>
          <w:rFonts w:ascii="Arial" w:eastAsia="Times New Roman" w:hAnsi="Arial" w:cs="Arial"/>
          <w:sz w:val="24"/>
          <w:szCs w:val="24"/>
        </w:rPr>
        <w:t xml:space="preserve"> </w:t>
      </w:r>
      <w:r w:rsidR="006C2059">
        <w:rPr>
          <w:rFonts w:ascii="Arial" w:eastAsia="Times New Roman" w:hAnsi="Arial" w:cs="Arial"/>
          <w:sz w:val="24"/>
          <w:szCs w:val="24"/>
        </w:rPr>
        <w:t xml:space="preserve">Service User </w:t>
      </w:r>
      <w:r w:rsidRPr="00B17497">
        <w:rPr>
          <w:rFonts w:ascii="Arial" w:eastAsia="Times New Roman" w:hAnsi="Arial" w:cs="Arial"/>
          <w:sz w:val="24"/>
          <w:szCs w:val="24"/>
        </w:rPr>
        <w:t xml:space="preserve">quitter </w:t>
      </w:r>
    </w:p>
    <w:p w:rsidR="00B17497" w:rsidRPr="00B17497" w:rsidRDefault="00B17497" w:rsidP="00B174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7497" w:rsidRPr="00B17497" w:rsidRDefault="00B17497" w:rsidP="00B1749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 xml:space="preserve">The following bonus payments will be made for successful </w:t>
      </w:r>
      <w:proofErr w:type="gramStart"/>
      <w:r w:rsidRPr="00B17497">
        <w:rPr>
          <w:rFonts w:ascii="Arial" w:eastAsia="Times New Roman" w:hAnsi="Arial" w:cs="Arial"/>
          <w:sz w:val="24"/>
          <w:szCs w:val="24"/>
        </w:rPr>
        <w:t>four week</w:t>
      </w:r>
      <w:proofErr w:type="gramEnd"/>
      <w:r w:rsidRPr="00B17497">
        <w:rPr>
          <w:rFonts w:ascii="Arial" w:eastAsia="Times New Roman" w:hAnsi="Arial" w:cs="Arial"/>
          <w:sz w:val="24"/>
          <w:szCs w:val="24"/>
        </w:rPr>
        <w:t xml:space="preserve"> </w:t>
      </w:r>
      <w:r w:rsidR="006C2059">
        <w:rPr>
          <w:rFonts w:ascii="Arial" w:eastAsia="Times New Roman" w:hAnsi="Arial" w:cs="Arial"/>
          <w:sz w:val="24"/>
          <w:szCs w:val="24"/>
        </w:rPr>
        <w:t xml:space="preserve">Service User </w:t>
      </w:r>
      <w:r w:rsidRPr="00B17497">
        <w:rPr>
          <w:rFonts w:ascii="Arial" w:eastAsia="Times New Roman" w:hAnsi="Arial" w:cs="Arial"/>
          <w:sz w:val="24"/>
          <w:szCs w:val="24"/>
        </w:rPr>
        <w:t xml:space="preserve">quitters falling into </w:t>
      </w:r>
      <w:r w:rsidRPr="00B17497">
        <w:rPr>
          <w:rFonts w:ascii="Arial" w:eastAsia="Times New Roman" w:hAnsi="Arial" w:cs="Arial"/>
          <w:b/>
          <w:sz w:val="24"/>
          <w:szCs w:val="24"/>
        </w:rPr>
        <w:t>one</w:t>
      </w:r>
      <w:r w:rsidRPr="00B17497">
        <w:rPr>
          <w:rFonts w:ascii="Arial" w:eastAsia="Times New Roman" w:hAnsi="Arial" w:cs="Arial"/>
          <w:sz w:val="24"/>
          <w:szCs w:val="24"/>
        </w:rPr>
        <w:t xml:space="preserve"> of the following categories (the bonus payments are not cumulative). The higher payment will apply</w:t>
      </w:r>
      <w:r w:rsidR="006C2059">
        <w:rPr>
          <w:rFonts w:ascii="Arial" w:eastAsia="Times New Roman" w:hAnsi="Arial" w:cs="Arial"/>
          <w:sz w:val="24"/>
          <w:szCs w:val="24"/>
        </w:rPr>
        <w:t>;</w:t>
      </w:r>
      <w:r w:rsidRPr="00B174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7497" w:rsidRPr="00B17497" w:rsidRDefault="00B17497" w:rsidP="00B17497">
      <w:pPr>
        <w:numPr>
          <w:ilvl w:val="0"/>
          <w:numId w:val="4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480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 xml:space="preserve">£20.00 will be paid for each successful </w:t>
      </w:r>
      <w:proofErr w:type="gramStart"/>
      <w:r w:rsidRPr="00B17497">
        <w:rPr>
          <w:rFonts w:ascii="Arial" w:eastAsia="Times New Roman" w:hAnsi="Arial" w:cs="Arial"/>
          <w:sz w:val="24"/>
          <w:szCs w:val="24"/>
        </w:rPr>
        <w:t>four week</w:t>
      </w:r>
      <w:proofErr w:type="gramEnd"/>
      <w:r w:rsidRPr="00B17497">
        <w:rPr>
          <w:rFonts w:ascii="Arial" w:eastAsia="Times New Roman" w:hAnsi="Arial" w:cs="Arial"/>
          <w:sz w:val="24"/>
          <w:szCs w:val="24"/>
        </w:rPr>
        <w:t xml:space="preserve"> </w:t>
      </w:r>
      <w:r w:rsidR="006C2059">
        <w:rPr>
          <w:rFonts w:ascii="Arial" w:eastAsia="Times New Roman" w:hAnsi="Arial" w:cs="Arial"/>
          <w:sz w:val="24"/>
          <w:szCs w:val="24"/>
        </w:rPr>
        <w:t xml:space="preserve">Service User </w:t>
      </w:r>
      <w:r w:rsidRPr="00B17497">
        <w:rPr>
          <w:rFonts w:ascii="Arial" w:eastAsia="Times New Roman" w:hAnsi="Arial" w:cs="Arial"/>
          <w:sz w:val="24"/>
          <w:szCs w:val="24"/>
        </w:rPr>
        <w:t>quitter who is pregnant</w:t>
      </w:r>
      <w:r w:rsidR="006C2059">
        <w:rPr>
          <w:rFonts w:ascii="Arial" w:eastAsia="Times New Roman" w:hAnsi="Arial" w:cs="Arial"/>
          <w:sz w:val="24"/>
          <w:szCs w:val="24"/>
        </w:rPr>
        <w:t>; or</w:t>
      </w:r>
    </w:p>
    <w:p w:rsidR="00B17497" w:rsidRPr="00B17497" w:rsidRDefault="00B17497" w:rsidP="00B17497">
      <w:pPr>
        <w:numPr>
          <w:ilvl w:val="0"/>
          <w:numId w:val="4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480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 xml:space="preserve">£10.00 will be paid for each successful </w:t>
      </w:r>
      <w:proofErr w:type="gramStart"/>
      <w:r w:rsidR="004C0DF9">
        <w:rPr>
          <w:rFonts w:ascii="Arial" w:eastAsia="Times New Roman" w:hAnsi="Arial" w:cs="Arial"/>
          <w:sz w:val="24"/>
          <w:szCs w:val="24"/>
        </w:rPr>
        <w:t>four week</w:t>
      </w:r>
      <w:proofErr w:type="gramEnd"/>
      <w:r w:rsidR="004C0DF9">
        <w:rPr>
          <w:rFonts w:ascii="Arial" w:eastAsia="Times New Roman" w:hAnsi="Arial" w:cs="Arial"/>
          <w:sz w:val="24"/>
          <w:szCs w:val="24"/>
        </w:rPr>
        <w:t xml:space="preserve"> </w:t>
      </w:r>
      <w:r w:rsidR="006C2059">
        <w:rPr>
          <w:rFonts w:ascii="Arial" w:eastAsia="Times New Roman" w:hAnsi="Arial" w:cs="Arial"/>
          <w:sz w:val="24"/>
          <w:szCs w:val="24"/>
        </w:rPr>
        <w:t xml:space="preserve">Service User </w:t>
      </w:r>
      <w:r w:rsidRPr="00B17497">
        <w:rPr>
          <w:rFonts w:ascii="Arial" w:eastAsia="Times New Roman" w:hAnsi="Arial" w:cs="Arial"/>
          <w:sz w:val="24"/>
          <w:szCs w:val="24"/>
        </w:rPr>
        <w:t>quitter who lives in a super output area of significant deprivation</w:t>
      </w:r>
      <w:r w:rsidR="006C2059">
        <w:rPr>
          <w:rFonts w:ascii="Arial" w:eastAsia="Times New Roman" w:hAnsi="Arial" w:cs="Arial"/>
          <w:sz w:val="24"/>
          <w:szCs w:val="24"/>
        </w:rPr>
        <w:t>; or</w:t>
      </w:r>
    </w:p>
    <w:p w:rsidR="00B17497" w:rsidRPr="00B17497" w:rsidRDefault="00B17497" w:rsidP="00B17497">
      <w:pPr>
        <w:numPr>
          <w:ilvl w:val="0"/>
          <w:numId w:val="4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480"/>
        <w:jc w:val="both"/>
        <w:rPr>
          <w:rFonts w:ascii="Arial" w:eastAsia="Times New Roman" w:hAnsi="Arial" w:cs="Arial"/>
          <w:sz w:val="24"/>
          <w:szCs w:val="24"/>
        </w:rPr>
      </w:pPr>
      <w:r w:rsidRPr="00B17497">
        <w:rPr>
          <w:rFonts w:ascii="Arial" w:eastAsia="Times New Roman" w:hAnsi="Arial" w:cs="Arial"/>
          <w:sz w:val="24"/>
          <w:szCs w:val="24"/>
        </w:rPr>
        <w:t xml:space="preserve">£10.00 will be paid for each successful </w:t>
      </w:r>
      <w:proofErr w:type="gramStart"/>
      <w:r w:rsidR="004C0DF9">
        <w:rPr>
          <w:rFonts w:ascii="Arial" w:eastAsia="Times New Roman" w:hAnsi="Arial" w:cs="Arial"/>
          <w:sz w:val="24"/>
          <w:szCs w:val="24"/>
        </w:rPr>
        <w:t>four week</w:t>
      </w:r>
      <w:proofErr w:type="gramEnd"/>
      <w:r w:rsidR="004C0DF9">
        <w:rPr>
          <w:rFonts w:ascii="Arial" w:eastAsia="Times New Roman" w:hAnsi="Arial" w:cs="Arial"/>
          <w:sz w:val="24"/>
          <w:szCs w:val="24"/>
        </w:rPr>
        <w:t xml:space="preserve"> </w:t>
      </w:r>
      <w:r w:rsidR="006C2059">
        <w:rPr>
          <w:rFonts w:ascii="Arial" w:eastAsia="Times New Roman" w:hAnsi="Arial" w:cs="Arial"/>
          <w:sz w:val="24"/>
          <w:szCs w:val="24"/>
        </w:rPr>
        <w:t xml:space="preserve">Service User </w:t>
      </w:r>
      <w:r w:rsidRPr="00B17497">
        <w:rPr>
          <w:rFonts w:ascii="Arial" w:eastAsia="Times New Roman" w:hAnsi="Arial" w:cs="Arial"/>
          <w:sz w:val="24"/>
          <w:szCs w:val="24"/>
        </w:rPr>
        <w:t>quitter who has severe and enduring mental health problems.</w:t>
      </w:r>
    </w:p>
    <w:p w:rsidR="00CF34BB" w:rsidRDefault="00CF34BB" w:rsidP="00312C8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A622E0" w:rsidRDefault="00A622E0" w:rsidP="00312C8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622E0">
        <w:rPr>
          <w:rFonts w:ascii="Arial" w:eastAsia="Times New Roman" w:hAnsi="Arial" w:cs="Arial"/>
          <w:noProof/>
          <w:sz w:val="24"/>
          <w:szCs w:val="24"/>
        </w:rPr>
        <w:t xml:space="preserve">As well as the cost per </w:t>
      </w:r>
      <w:r w:rsidR="006C2059">
        <w:rPr>
          <w:rFonts w:ascii="Arial" w:eastAsia="Times New Roman" w:hAnsi="Arial" w:cs="Arial"/>
          <w:noProof/>
          <w:sz w:val="24"/>
          <w:szCs w:val="24"/>
        </w:rPr>
        <w:t xml:space="preserve">Service User </w:t>
      </w:r>
      <w:r w:rsidRPr="00A622E0">
        <w:rPr>
          <w:rFonts w:ascii="Arial" w:eastAsia="Times New Roman" w:hAnsi="Arial" w:cs="Arial"/>
          <w:noProof/>
          <w:sz w:val="24"/>
          <w:szCs w:val="24"/>
        </w:rPr>
        <w:t>quitter the Provider will receive the cost of the NRT product at</w:t>
      </w:r>
      <w:r w:rsidR="000F639E" w:rsidRPr="000F639E">
        <w:t xml:space="preserve"> </w:t>
      </w:r>
      <w:r w:rsidR="000F639E" w:rsidRPr="000F639E">
        <w:rPr>
          <w:rFonts w:ascii="Arial" w:eastAsia="Times New Roman" w:hAnsi="Arial" w:cs="Arial"/>
          <w:noProof/>
          <w:sz w:val="24"/>
          <w:szCs w:val="24"/>
        </w:rPr>
        <w:t>Chemist and Druggist</w:t>
      </w:r>
      <w:r w:rsidRPr="00A622E0">
        <w:rPr>
          <w:rFonts w:ascii="Arial" w:eastAsia="Times New Roman" w:hAnsi="Arial" w:cs="Arial"/>
          <w:noProof/>
          <w:sz w:val="24"/>
          <w:szCs w:val="24"/>
        </w:rPr>
        <w:t xml:space="preserve"> cost price, plus £2 supply fee.</w:t>
      </w:r>
    </w:p>
    <w:p w:rsidR="00A622E0" w:rsidRDefault="00A622E0" w:rsidP="00312C8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0F639E" w:rsidRDefault="002152BB" w:rsidP="003C3CC9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152BB">
        <w:rPr>
          <w:rFonts w:ascii="Arial" w:eastAsia="Times New Roman" w:hAnsi="Arial" w:cs="Arial"/>
          <w:b/>
          <w:noProof/>
          <w:sz w:val="24"/>
          <w:szCs w:val="24"/>
        </w:rPr>
        <w:t>To enable timely and accurate payments to be made all activity data must be inputted on to QuitManager within 2 days of quarter end, the quarter dates being:</w:t>
      </w:r>
    </w:p>
    <w:p w:rsidR="00001449" w:rsidRPr="00C9226D" w:rsidRDefault="00001449" w:rsidP="00001449">
      <w:pPr>
        <w:keepNext/>
        <w:spacing w:before="120" w:after="12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</w:rPr>
      </w:pPr>
      <w:r w:rsidRPr="00C9226D">
        <w:rPr>
          <w:rFonts w:ascii="Arial" w:eastAsia="Times New Roman" w:hAnsi="Arial" w:cs="Arial"/>
          <w:kern w:val="28"/>
          <w:sz w:val="24"/>
          <w:szCs w:val="24"/>
        </w:rPr>
        <w:t xml:space="preserve">Q1 </w:t>
      </w:r>
      <w:r>
        <w:rPr>
          <w:rFonts w:ascii="Arial" w:eastAsia="Times New Roman" w:hAnsi="Arial" w:cs="Arial"/>
          <w:kern w:val="28"/>
          <w:sz w:val="24"/>
          <w:szCs w:val="24"/>
        </w:rPr>
        <w:t>– 1</w:t>
      </w:r>
      <w:r w:rsidRPr="00354DA3">
        <w:rPr>
          <w:rFonts w:ascii="Arial" w:eastAsia="Times New Roman" w:hAnsi="Arial" w:cs="Arial"/>
          <w:kern w:val="28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April - </w:t>
      </w:r>
      <w:r w:rsidRPr="00C9226D">
        <w:rPr>
          <w:rFonts w:ascii="Arial" w:eastAsia="Times New Roman" w:hAnsi="Arial" w:cs="Arial"/>
          <w:kern w:val="28"/>
          <w:sz w:val="24"/>
          <w:szCs w:val="24"/>
        </w:rPr>
        <w:t>30th June</w:t>
      </w:r>
    </w:p>
    <w:p w:rsidR="00001449" w:rsidRPr="00C9226D" w:rsidRDefault="00001449" w:rsidP="00001449">
      <w:pPr>
        <w:keepNext/>
        <w:spacing w:before="120" w:after="12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</w:rPr>
      </w:pPr>
      <w:r w:rsidRPr="00C9226D">
        <w:rPr>
          <w:rFonts w:ascii="Arial" w:eastAsia="Times New Roman" w:hAnsi="Arial" w:cs="Arial"/>
          <w:kern w:val="28"/>
          <w:sz w:val="24"/>
          <w:szCs w:val="24"/>
        </w:rPr>
        <w:t xml:space="preserve">Q2 </w:t>
      </w:r>
      <w:r>
        <w:rPr>
          <w:rFonts w:ascii="Arial" w:eastAsia="Times New Roman" w:hAnsi="Arial" w:cs="Arial"/>
          <w:kern w:val="28"/>
          <w:sz w:val="24"/>
          <w:szCs w:val="24"/>
        </w:rPr>
        <w:t>–</w:t>
      </w:r>
      <w:r w:rsidRPr="00C9226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</w:rPr>
        <w:t>1</w:t>
      </w:r>
      <w:r w:rsidRPr="00354DA3">
        <w:rPr>
          <w:rFonts w:ascii="Arial" w:eastAsia="Times New Roman" w:hAnsi="Arial" w:cs="Arial"/>
          <w:kern w:val="28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July - </w:t>
      </w:r>
      <w:r w:rsidRPr="00C9226D">
        <w:rPr>
          <w:rFonts w:ascii="Arial" w:eastAsia="Times New Roman" w:hAnsi="Arial" w:cs="Arial"/>
          <w:kern w:val="28"/>
          <w:sz w:val="24"/>
          <w:szCs w:val="24"/>
        </w:rPr>
        <w:t>30th September</w:t>
      </w:r>
    </w:p>
    <w:p w:rsidR="00001449" w:rsidRPr="00C9226D" w:rsidRDefault="00001449" w:rsidP="00001449">
      <w:pPr>
        <w:keepNext/>
        <w:spacing w:before="120" w:after="12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</w:rPr>
      </w:pPr>
      <w:r w:rsidRPr="00C9226D">
        <w:rPr>
          <w:rFonts w:ascii="Arial" w:eastAsia="Times New Roman" w:hAnsi="Arial" w:cs="Arial"/>
          <w:kern w:val="28"/>
          <w:sz w:val="24"/>
          <w:szCs w:val="24"/>
        </w:rPr>
        <w:t xml:space="preserve">Q3 </w:t>
      </w:r>
      <w:r>
        <w:rPr>
          <w:rFonts w:ascii="Arial" w:eastAsia="Times New Roman" w:hAnsi="Arial" w:cs="Arial"/>
          <w:kern w:val="28"/>
          <w:sz w:val="24"/>
          <w:szCs w:val="24"/>
        </w:rPr>
        <w:t>–</w:t>
      </w:r>
      <w:r w:rsidRPr="00C9226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</w:rPr>
        <w:t>1</w:t>
      </w:r>
      <w:r w:rsidRPr="00354DA3">
        <w:rPr>
          <w:rFonts w:ascii="Arial" w:eastAsia="Times New Roman" w:hAnsi="Arial" w:cs="Arial"/>
          <w:kern w:val="28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October - </w:t>
      </w:r>
      <w:r w:rsidRPr="00C9226D">
        <w:rPr>
          <w:rFonts w:ascii="Arial" w:eastAsia="Times New Roman" w:hAnsi="Arial" w:cs="Arial"/>
          <w:kern w:val="28"/>
          <w:sz w:val="24"/>
          <w:szCs w:val="24"/>
        </w:rPr>
        <w:t>31st December</w:t>
      </w:r>
    </w:p>
    <w:p w:rsidR="00001449" w:rsidRPr="0025353A" w:rsidRDefault="00001449" w:rsidP="00001449">
      <w:pPr>
        <w:keepNext/>
        <w:spacing w:before="120" w:after="12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</w:rPr>
      </w:pPr>
      <w:r w:rsidRPr="00C9226D">
        <w:rPr>
          <w:rFonts w:ascii="Arial" w:eastAsia="Times New Roman" w:hAnsi="Arial" w:cs="Arial"/>
          <w:kern w:val="28"/>
          <w:sz w:val="24"/>
          <w:szCs w:val="24"/>
        </w:rPr>
        <w:t xml:space="preserve">Q4 </w:t>
      </w:r>
      <w:r>
        <w:rPr>
          <w:rFonts w:ascii="Arial" w:eastAsia="Times New Roman" w:hAnsi="Arial" w:cs="Arial"/>
          <w:kern w:val="28"/>
          <w:sz w:val="24"/>
          <w:szCs w:val="24"/>
        </w:rPr>
        <w:t>–</w:t>
      </w:r>
      <w:r w:rsidRPr="00C9226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</w:rPr>
        <w:t>1</w:t>
      </w:r>
      <w:r w:rsidRPr="00354DA3">
        <w:rPr>
          <w:rFonts w:ascii="Arial" w:eastAsia="Times New Roman" w:hAnsi="Arial" w:cs="Arial"/>
          <w:kern w:val="28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January - </w:t>
      </w:r>
      <w:r w:rsidRPr="00C9226D">
        <w:rPr>
          <w:rFonts w:ascii="Arial" w:eastAsia="Times New Roman" w:hAnsi="Arial" w:cs="Arial"/>
          <w:kern w:val="28"/>
          <w:sz w:val="24"/>
          <w:szCs w:val="24"/>
        </w:rPr>
        <w:t>31st March</w:t>
      </w:r>
      <w:bookmarkStart w:id="0" w:name="_GoBack"/>
      <w:bookmarkEnd w:id="0"/>
      <w:r w:rsidRPr="00C9226D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:rsidR="00001449" w:rsidRPr="00001449" w:rsidRDefault="00B16D29" w:rsidP="003C3CC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16D29">
        <w:rPr>
          <w:rFonts w:ascii="Arial" w:eastAsia="Times New Roman" w:hAnsi="Arial" w:cs="Arial"/>
          <w:noProof/>
          <w:sz w:val="24"/>
          <w:szCs w:val="24"/>
        </w:rPr>
        <w:t>Late submissions may result in loss of payment.</w:t>
      </w:r>
    </w:p>
    <w:sectPr w:rsidR="00001449" w:rsidRPr="00001449" w:rsidSect="00277929">
      <w:headerReference w:type="default" r:id="rId8"/>
      <w:footerReference w:type="default" r:id="rId9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16A" w:rsidRDefault="00617C20">
      <w:pPr>
        <w:spacing w:after="0" w:line="240" w:lineRule="auto"/>
      </w:pPr>
      <w:r>
        <w:separator/>
      </w:r>
    </w:p>
  </w:endnote>
  <w:endnote w:type="continuationSeparator" w:id="0">
    <w:p w:rsidR="009C516A" w:rsidRDefault="0061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3356647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B17497" w:rsidRDefault="00661A00" w:rsidP="00685FAC">
        <w:pPr>
          <w:pStyle w:val="Footer"/>
        </w:pPr>
        <w:r w:rsidRPr="00661A00">
          <w:rPr>
            <w:rFonts w:ascii="Arial" w:hAnsi="Arial" w:cs="Arial"/>
          </w:rPr>
          <w:t xml:space="preserve">Enhanced Smoking Cessation Service </w:t>
        </w:r>
        <w:r w:rsidR="00E649ED">
          <w:rPr>
            <w:rFonts w:ascii="Arial" w:hAnsi="Arial" w:cs="Arial"/>
          </w:rPr>
          <w:t xml:space="preserve">Specification </w:t>
        </w:r>
        <w:r w:rsidR="00B17497" w:rsidRPr="00C600E4">
          <w:rPr>
            <w:rFonts w:ascii="Arial" w:hAnsi="Arial" w:cs="Arial"/>
          </w:rPr>
          <w:ptab w:relativeTo="margin" w:alignment="right" w:leader="none"/>
        </w:r>
        <w:r w:rsidR="00B17497" w:rsidRPr="00C600E4">
          <w:rPr>
            <w:rFonts w:ascii="Arial" w:hAnsi="Arial" w:cs="Arial"/>
          </w:rPr>
          <w:fldChar w:fldCharType="begin"/>
        </w:r>
        <w:r w:rsidR="00B17497" w:rsidRPr="00C600E4">
          <w:rPr>
            <w:rFonts w:ascii="Arial" w:hAnsi="Arial" w:cs="Arial"/>
          </w:rPr>
          <w:instrText xml:space="preserve"> PAGE   \* MERGEFORMAT </w:instrText>
        </w:r>
        <w:r w:rsidR="00B17497" w:rsidRPr="00C600E4">
          <w:rPr>
            <w:rFonts w:ascii="Arial" w:hAnsi="Arial" w:cs="Arial"/>
          </w:rPr>
          <w:fldChar w:fldCharType="separate"/>
        </w:r>
        <w:r w:rsidR="002152BB">
          <w:rPr>
            <w:rFonts w:ascii="Arial" w:hAnsi="Arial" w:cs="Arial"/>
            <w:noProof/>
          </w:rPr>
          <w:t>5</w:t>
        </w:r>
        <w:r w:rsidR="00B17497" w:rsidRPr="00C600E4">
          <w:rPr>
            <w:rFonts w:ascii="Arial" w:hAnsi="Arial" w:cs="Arial"/>
          </w:rPr>
          <w:fldChar w:fldCharType="end"/>
        </w:r>
        <w:r w:rsidR="00B17497" w:rsidRPr="00C600E4">
          <w:rPr>
            <w:rFonts w:ascii="Arial" w:hAnsi="Arial" w:cs="Arial"/>
          </w:rPr>
          <w:t xml:space="preserve"> out of 6</w:t>
        </w:r>
      </w:p>
    </w:sdtContent>
  </w:sdt>
  <w:p w:rsidR="00B17497" w:rsidRDefault="00B17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16A" w:rsidRDefault="00617C20">
      <w:pPr>
        <w:spacing w:after="0" w:line="240" w:lineRule="auto"/>
      </w:pPr>
      <w:r>
        <w:separator/>
      </w:r>
    </w:p>
  </w:footnote>
  <w:footnote w:type="continuationSeparator" w:id="0">
    <w:p w:rsidR="009C516A" w:rsidRDefault="0061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97" w:rsidRDefault="00B17497" w:rsidP="00685F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0A48"/>
    <w:multiLevelType w:val="hybridMultilevel"/>
    <w:tmpl w:val="2D0228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ADE46CB"/>
    <w:multiLevelType w:val="hybridMultilevel"/>
    <w:tmpl w:val="5F862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56402"/>
    <w:multiLevelType w:val="hybridMultilevel"/>
    <w:tmpl w:val="D4B00CB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602B3"/>
    <w:multiLevelType w:val="hybridMultilevel"/>
    <w:tmpl w:val="98A8E3AA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1160D8"/>
    <w:multiLevelType w:val="hybridMultilevel"/>
    <w:tmpl w:val="E730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259B"/>
    <w:multiLevelType w:val="hybridMultilevel"/>
    <w:tmpl w:val="E076C220"/>
    <w:lvl w:ilvl="0" w:tplc="0E0C6198">
      <w:start w:val="1"/>
      <w:numFmt w:val="lowerRoman"/>
      <w:lvlText w:val="%1."/>
      <w:lvlJc w:val="right"/>
      <w:pPr>
        <w:tabs>
          <w:tab w:val="num" w:pos="1021"/>
        </w:tabs>
        <w:ind w:left="1021" w:hanging="11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9DC"/>
    <w:multiLevelType w:val="hybridMultilevel"/>
    <w:tmpl w:val="6FF0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A4C9B"/>
    <w:multiLevelType w:val="hybridMultilevel"/>
    <w:tmpl w:val="248C99F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F73CA"/>
    <w:multiLevelType w:val="hybridMultilevel"/>
    <w:tmpl w:val="9A0AF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7"/>
    <w:rsid w:val="00001449"/>
    <w:rsid w:val="00061260"/>
    <w:rsid w:val="000B66B4"/>
    <w:rsid w:val="000C1953"/>
    <w:rsid w:val="000D15AE"/>
    <w:rsid w:val="000E2570"/>
    <w:rsid w:val="000F639E"/>
    <w:rsid w:val="0016221C"/>
    <w:rsid w:val="00162705"/>
    <w:rsid w:val="00170B22"/>
    <w:rsid w:val="00192A1B"/>
    <w:rsid w:val="001C3799"/>
    <w:rsid w:val="002120EB"/>
    <w:rsid w:val="002152BB"/>
    <w:rsid w:val="00277929"/>
    <w:rsid w:val="00312C8D"/>
    <w:rsid w:val="00317355"/>
    <w:rsid w:val="00327009"/>
    <w:rsid w:val="00342473"/>
    <w:rsid w:val="003579D0"/>
    <w:rsid w:val="00360F2E"/>
    <w:rsid w:val="0038565E"/>
    <w:rsid w:val="00387845"/>
    <w:rsid w:val="003B4E94"/>
    <w:rsid w:val="003C1662"/>
    <w:rsid w:val="003C3CC9"/>
    <w:rsid w:val="003C6DEC"/>
    <w:rsid w:val="0040171E"/>
    <w:rsid w:val="004516D5"/>
    <w:rsid w:val="00457BDC"/>
    <w:rsid w:val="00463DCD"/>
    <w:rsid w:val="00471000"/>
    <w:rsid w:val="00495774"/>
    <w:rsid w:val="004B326F"/>
    <w:rsid w:val="004C0DF9"/>
    <w:rsid w:val="004C4361"/>
    <w:rsid w:val="005808F5"/>
    <w:rsid w:val="00591166"/>
    <w:rsid w:val="005F02B3"/>
    <w:rsid w:val="00617C20"/>
    <w:rsid w:val="00621804"/>
    <w:rsid w:val="00657D7D"/>
    <w:rsid w:val="00661A00"/>
    <w:rsid w:val="006673AF"/>
    <w:rsid w:val="006C2059"/>
    <w:rsid w:val="007221F9"/>
    <w:rsid w:val="0073407F"/>
    <w:rsid w:val="00743680"/>
    <w:rsid w:val="007662C4"/>
    <w:rsid w:val="00776A0F"/>
    <w:rsid w:val="0078268B"/>
    <w:rsid w:val="007B35B5"/>
    <w:rsid w:val="007E06C1"/>
    <w:rsid w:val="007F2D72"/>
    <w:rsid w:val="007F65EC"/>
    <w:rsid w:val="00822FAA"/>
    <w:rsid w:val="00833307"/>
    <w:rsid w:val="00853FE3"/>
    <w:rsid w:val="008745BC"/>
    <w:rsid w:val="0089154A"/>
    <w:rsid w:val="008C7735"/>
    <w:rsid w:val="008E105D"/>
    <w:rsid w:val="00964BF0"/>
    <w:rsid w:val="00992950"/>
    <w:rsid w:val="009C516A"/>
    <w:rsid w:val="009D4F80"/>
    <w:rsid w:val="00A16FAE"/>
    <w:rsid w:val="00A25C1C"/>
    <w:rsid w:val="00A622E0"/>
    <w:rsid w:val="00AA6463"/>
    <w:rsid w:val="00AB44D0"/>
    <w:rsid w:val="00AD0661"/>
    <w:rsid w:val="00AF4A82"/>
    <w:rsid w:val="00B001DB"/>
    <w:rsid w:val="00B01EA9"/>
    <w:rsid w:val="00B16D29"/>
    <w:rsid w:val="00B16F6A"/>
    <w:rsid w:val="00B17497"/>
    <w:rsid w:val="00B5685A"/>
    <w:rsid w:val="00B6601D"/>
    <w:rsid w:val="00BF0F17"/>
    <w:rsid w:val="00C671E7"/>
    <w:rsid w:val="00CA733F"/>
    <w:rsid w:val="00CB0749"/>
    <w:rsid w:val="00CF28B0"/>
    <w:rsid w:val="00CF34BB"/>
    <w:rsid w:val="00D22519"/>
    <w:rsid w:val="00D40778"/>
    <w:rsid w:val="00D45CDE"/>
    <w:rsid w:val="00D55B70"/>
    <w:rsid w:val="00D87F7B"/>
    <w:rsid w:val="00D97DF0"/>
    <w:rsid w:val="00DB0A53"/>
    <w:rsid w:val="00DE662D"/>
    <w:rsid w:val="00DE7BDF"/>
    <w:rsid w:val="00DF75DC"/>
    <w:rsid w:val="00E0153C"/>
    <w:rsid w:val="00E23F26"/>
    <w:rsid w:val="00E33D0C"/>
    <w:rsid w:val="00E43E31"/>
    <w:rsid w:val="00E542A1"/>
    <w:rsid w:val="00E643BC"/>
    <w:rsid w:val="00E649ED"/>
    <w:rsid w:val="00EB56F4"/>
    <w:rsid w:val="00EC3939"/>
    <w:rsid w:val="00F40838"/>
    <w:rsid w:val="00F94C6A"/>
    <w:rsid w:val="00FB7B7C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799C"/>
  <w15:docId w15:val="{9CFACAB8-8906-4936-84DE-75CE1748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97"/>
  </w:style>
  <w:style w:type="paragraph" w:styleId="Footer">
    <w:name w:val="footer"/>
    <w:basedOn w:val="Normal"/>
    <w:link w:val="FooterChar"/>
    <w:uiPriority w:val="99"/>
    <w:unhideWhenUsed/>
    <w:rsid w:val="00B1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97"/>
  </w:style>
  <w:style w:type="paragraph" w:styleId="BalloonText">
    <w:name w:val="Balloon Text"/>
    <w:basedOn w:val="Normal"/>
    <w:link w:val="BalloonTextChar"/>
    <w:uiPriority w:val="99"/>
    <w:semiHidden/>
    <w:unhideWhenUsed/>
    <w:rsid w:val="0049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6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sct.co.uk/publication_service_and_delivery_guidance_201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aareington</dc:creator>
  <cp:lastModifiedBy>LUCAS-MOUAT, Gregory</cp:lastModifiedBy>
  <cp:revision>2</cp:revision>
  <cp:lastPrinted>2017-12-08T12:52:00Z</cp:lastPrinted>
  <dcterms:created xsi:type="dcterms:W3CDTF">2020-10-13T14:54:00Z</dcterms:created>
  <dcterms:modified xsi:type="dcterms:W3CDTF">2020-10-13T14:54:00Z</dcterms:modified>
</cp:coreProperties>
</file>