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5F29" w14:textId="4CF95681" w:rsidR="006015A9" w:rsidRPr="0036233D" w:rsidRDefault="0036233D" w:rsidP="0052696F">
      <w:pPr>
        <w:jc w:val="center"/>
        <w:rPr>
          <w:b/>
          <w:u w:val="single"/>
        </w:rPr>
      </w:pPr>
      <w:r w:rsidRPr="0036233D">
        <w:rPr>
          <w:b/>
          <w:u w:val="single"/>
        </w:rPr>
        <w:t xml:space="preserve">Minutes of LPC </w:t>
      </w:r>
      <w:r w:rsidR="0006413C">
        <w:rPr>
          <w:b/>
          <w:u w:val="single"/>
        </w:rPr>
        <w:t xml:space="preserve">July </w:t>
      </w:r>
      <w:r w:rsidR="00CD5C9F">
        <w:rPr>
          <w:b/>
          <w:u w:val="single"/>
        </w:rPr>
        <w:t>1</w:t>
      </w:r>
      <w:r w:rsidR="0006413C">
        <w:rPr>
          <w:b/>
          <w:u w:val="single"/>
        </w:rPr>
        <w:t>4</w:t>
      </w:r>
      <w:r w:rsidR="00CD5C9F" w:rsidRPr="00CD5C9F">
        <w:rPr>
          <w:b/>
          <w:u w:val="single"/>
          <w:vertAlign w:val="superscript"/>
        </w:rPr>
        <w:t>th</w:t>
      </w:r>
      <w:proofErr w:type="gramStart"/>
      <w:r w:rsidR="00CD5C9F">
        <w:rPr>
          <w:b/>
          <w:u w:val="single"/>
        </w:rPr>
        <w:t xml:space="preserve"> 2022</w:t>
      </w:r>
      <w:proofErr w:type="gramEnd"/>
    </w:p>
    <w:p w14:paraId="11EC81BD" w14:textId="62E6B29B" w:rsidR="0036233D" w:rsidRPr="003724F7" w:rsidRDefault="0036233D">
      <w:bookmarkStart w:id="0" w:name="_Hlk109042222"/>
      <w:r w:rsidRPr="0036233D">
        <w:rPr>
          <w:b/>
        </w:rPr>
        <w:t>Apologies:</w:t>
      </w:r>
      <w:r w:rsidR="00CB0C0A">
        <w:t xml:space="preserve"> </w:t>
      </w:r>
      <w:r w:rsidR="00CD5C9F">
        <w:t>Rebecca Myers – AIM and Partnerships Manager (RM) – Maternity Leave</w:t>
      </w:r>
      <w:r w:rsidR="0006413C">
        <w:t xml:space="preserve">, Will Pearce – CCA (WP), </w:t>
      </w:r>
      <w:proofErr w:type="spellStart"/>
      <w:r w:rsidR="0006413C">
        <w:t>Etisham</w:t>
      </w:r>
      <w:proofErr w:type="spellEnd"/>
      <w:r w:rsidR="0006413C">
        <w:t xml:space="preserve"> Kiani – IND (EK), Wayne Ryan – CCA (WR), Peter Badham – AIM (PB), Abdul Nawaz</w:t>
      </w:r>
      <w:r w:rsidR="00B93CA1">
        <w:t xml:space="preserve"> – CCA (AN).</w:t>
      </w:r>
    </w:p>
    <w:p w14:paraId="3D7E968B" w14:textId="1ED8DDC7" w:rsidR="00CF0396" w:rsidRPr="003724F7" w:rsidRDefault="00ED09AE" w:rsidP="00CF0396">
      <w:r w:rsidRPr="00652815">
        <w:rPr>
          <w:b/>
        </w:rPr>
        <w:t>In Attendance:</w:t>
      </w:r>
      <w:r>
        <w:t xml:space="preserve"> Andrew Lane- chair (AL),</w:t>
      </w:r>
      <w:r w:rsidR="00B93CA1">
        <w:t xml:space="preserve"> </w:t>
      </w:r>
      <w:r>
        <w:t xml:space="preserve">Sam Bradshaw- support officer (SB), </w:t>
      </w:r>
      <w:r w:rsidR="00A47987">
        <w:t xml:space="preserve">Vas </w:t>
      </w:r>
      <w:r w:rsidR="00E14D2D">
        <w:t>Alafodimos -</w:t>
      </w:r>
      <w:r w:rsidR="00A47987">
        <w:t>CCA</w:t>
      </w:r>
      <w:r w:rsidR="00B93CA1">
        <w:t xml:space="preserve"> (VA)</w:t>
      </w:r>
      <w:r w:rsidR="00CB0C0A">
        <w:t>, Steve Ireland – AIM (SI)</w:t>
      </w:r>
      <w:r w:rsidR="00CD5C9F">
        <w:t xml:space="preserve">, </w:t>
      </w:r>
      <w:r w:rsidR="00B93CA1">
        <w:t xml:space="preserve">Gary Barber – IND (GB), </w:t>
      </w:r>
      <w:r w:rsidR="00CD5C9F">
        <w:t xml:space="preserve">Neetan Jain – IND (NJ), </w:t>
      </w:r>
      <w:proofErr w:type="spellStart"/>
      <w:r w:rsidR="00CD5C9F">
        <w:t>Satwinder</w:t>
      </w:r>
      <w:proofErr w:type="spellEnd"/>
      <w:r w:rsidR="00CD5C9F">
        <w:t xml:space="preserve"> </w:t>
      </w:r>
      <w:proofErr w:type="spellStart"/>
      <w:r w:rsidR="00CD5C9F">
        <w:t>Sandha</w:t>
      </w:r>
      <w:proofErr w:type="spellEnd"/>
      <w:r w:rsidR="00CD5C9F">
        <w:t xml:space="preserve"> – CCA (SS), Matt Mollen – CCA (MM)</w:t>
      </w:r>
      <w:r w:rsidR="00431481">
        <w:t>.</w:t>
      </w:r>
    </w:p>
    <w:bookmarkEnd w:id="0"/>
    <w:p w14:paraId="3939DAF8" w14:textId="3C621A94" w:rsidR="00ED09AE" w:rsidRDefault="00ED09AE"/>
    <w:p w14:paraId="7B92357B" w14:textId="142E35FC" w:rsidR="0036233D" w:rsidRPr="0036233D" w:rsidRDefault="0036233D">
      <w:pPr>
        <w:rPr>
          <w:b/>
        </w:rPr>
      </w:pPr>
      <w:r>
        <w:rPr>
          <w:b/>
        </w:rPr>
        <w:t xml:space="preserve">Guests:  </w:t>
      </w:r>
      <w:r w:rsidR="00B93CA1">
        <w:rPr>
          <w:b/>
        </w:rPr>
        <w:t>Sian Williams (ICB/HEE), Pfizer have provided sponsorship in exchange for stand space.</w:t>
      </w:r>
    </w:p>
    <w:tbl>
      <w:tblPr>
        <w:tblStyle w:val="TableGrid"/>
        <w:tblW w:w="0" w:type="auto"/>
        <w:tblLook w:val="04A0" w:firstRow="1" w:lastRow="0" w:firstColumn="1" w:lastColumn="0" w:noHBand="0" w:noVBand="1"/>
      </w:tblPr>
      <w:tblGrid>
        <w:gridCol w:w="1789"/>
        <w:gridCol w:w="5847"/>
        <w:gridCol w:w="1380"/>
      </w:tblGrid>
      <w:tr w:rsidR="00511CA0" w14:paraId="5A00CBFE" w14:textId="77777777" w:rsidTr="000D7F71">
        <w:tc>
          <w:tcPr>
            <w:tcW w:w="1789" w:type="dxa"/>
          </w:tcPr>
          <w:p w14:paraId="28EC9F95" w14:textId="77777777" w:rsidR="00511CA0" w:rsidRPr="004841C4" w:rsidRDefault="00511CA0">
            <w:pPr>
              <w:rPr>
                <w:b/>
                <w:bCs/>
                <w:u w:val="single"/>
              </w:rPr>
            </w:pPr>
          </w:p>
        </w:tc>
        <w:tc>
          <w:tcPr>
            <w:tcW w:w="5847" w:type="dxa"/>
          </w:tcPr>
          <w:p w14:paraId="18B2E5BB" w14:textId="77777777" w:rsidR="00511CA0" w:rsidRDefault="00511CA0"/>
        </w:tc>
        <w:tc>
          <w:tcPr>
            <w:tcW w:w="1380" w:type="dxa"/>
          </w:tcPr>
          <w:p w14:paraId="2223FF2B" w14:textId="4011912D" w:rsidR="00511CA0" w:rsidRPr="00511CA0" w:rsidRDefault="00511CA0">
            <w:pPr>
              <w:rPr>
                <w:b/>
                <w:bCs/>
              </w:rPr>
            </w:pPr>
            <w:r w:rsidRPr="00511CA0">
              <w:rPr>
                <w:b/>
                <w:bCs/>
              </w:rPr>
              <w:t>ACTIONS</w:t>
            </w:r>
          </w:p>
        </w:tc>
      </w:tr>
      <w:tr w:rsidR="00511CA0" w14:paraId="0E5E200E" w14:textId="59114137" w:rsidTr="000D7F71">
        <w:tc>
          <w:tcPr>
            <w:tcW w:w="1789" w:type="dxa"/>
          </w:tcPr>
          <w:p w14:paraId="331AA446" w14:textId="77777777" w:rsidR="00511CA0" w:rsidRPr="004841C4" w:rsidRDefault="00511CA0">
            <w:pPr>
              <w:rPr>
                <w:b/>
                <w:bCs/>
                <w:u w:val="single"/>
              </w:rPr>
            </w:pPr>
            <w:r w:rsidRPr="004841C4">
              <w:rPr>
                <w:b/>
                <w:bCs/>
                <w:u w:val="single"/>
              </w:rPr>
              <w:t>Welcome and introductions</w:t>
            </w:r>
          </w:p>
        </w:tc>
        <w:tc>
          <w:tcPr>
            <w:tcW w:w="5847" w:type="dxa"/>
          </w:tcPr>
          <w:p w14:paraId="201CDD2F" w14:textId="2A9AF96E" w:rsidR="00511CA0" w:rsidRDefault="00B62722">
            <w:r>
              <w:t>New CCA member – Abdul Nawaz (apologies)</w:t>
            </w:r>
          </w:p>
        </w:tc>
        <w:tc>
          <w:tcPr>
            <w:tcW w:w="1380" w:type="dxa"/>
          </w:tcPr>
          <w:p w14:paraId="05FFC7B5" w14:textId="2BC8592B" w:rsidR="00511CA0" w:rsidRPr="00511CA0" w:rsidRDefault="00511CA0">
            <w:pPr>
              <w:rPr>
                <w:b/>
                <w:bCs/>
              </w:rPr>
            </w:pPr>
          </w:p>
        </w:tc>
      </w:tr>
      <w:tr w:rsidR="00511CA0" w14:paraId="656C5240" w14:textId="409D0D5F" w:rsidTr="000D7F71">
        <w:tc>
          <w:tcPr>
            <w:tcW w:w="1789" w:type="dxa"/>
          </w:tcPr>
          <w:p w14:paraId="00E27928" w14:textId="281A8014" w:rsidR="00511CA0" w:rsidRDefault="00511CA0">
            <w:pPr>
              <w:rPr>
                <w:b/>
                <w:bCs/>
                <w:u w:val="single"/>
              </w:rPr>
            </w:pPr>
            <w:r>
              <w:rPr>
                <w:b/>
                <w:bCs/>
                <w:u w:val="single"/>
              </w:rPr>
              <w:t>Ma</w:t>
            </w:r>
            <w:r w:rsidR="00B93CA1">
              <w:rPr>
                <w:b/>
                <w:bCs/>
                <w:u w:val="single"/>
              </w:rPr>
              <w:t>y</w:t>
            </w:r>
            <w:r>
              <w:rPr>
                <w:b/>
                <w:bCs/>
                <w:u w:val="single"/>
              </w:rPr>
              <w:t xml:space="preserve"> meeting minutes </w:t>
            </w:r>
          </w:p>
        </w:tc>
        <w:tc>
          <w:tcPr>
            <w:tcW w:w="5847" w:type="dxa"/>
          </w:tcPr>
          <w:p w14:paraId="0B4EB46C" w14:textId="48EEA774" w:rsidR="00511CA0" w:rsidRDefault="00511CA0">
            <w:r>
              <w:t>Approved for publication.</w:t>
            </w:r>
          </w:p>
        </w:tc>
        <w:tc>
          <w:tcPr>
            <w:tcW w:w="1380" w:type="dxa"/>
          </w:tcPr>
          <w:p w14:paraId="6416CC34" w14:textId="0F11149D" w:rsidR="00511CA0" w:rsidRPr="00DB567F" w:rsidRDefault="00511CA0">
            <w:pPr>
              <w:rPr>
                <w:b/>
                <w:bCs/>
              </w:rPr>
            </w:pPr>
            <w:r w:rsidRPr="00DB567F">
              <w:rPr>
                <w:b/>
                <w:bCs/>
              </w:rPr>
              <w:t xml:space="preserve">SB </w:t>
            </w:r>
          </w:p>
        </w:tc>
      </w:tr>
      <w:tr w:rsidR="00511CA0" w14:paraId="2875FD46" w14:textId="31466FD8" w:rsidTr="000D7F71">
        <w:tc>
          <w:tcPr>
            <w:tcW w:w="1789" w:type="dxa"/>
          </w:tcPr>
          <w:p w14:paraId="0CE7BC06" w14:textId="77777777" w:rsidR="00511CA0" w:rsidRPr="004841C4" w:rsidRDefault="00511CA0">
            <w:pPr>
              <w:rPr>
                <w:b/>
                <w:bCs/>
                <w:u w:val="single"/>
              </w:rPr>
            </w:pPr>
            <w:r w:rsidRPr="004841C4">
              <w:rPr>
                <w:b/>
                <w:bCs/>
                <w:u w:val="single"/>
              </w:rPr>
              <w:t>Officer reports</w:t>
            </w:r>
          </w:p>
        </w:tc>
        <w:tc>
          <w:tcPr>
            <w:tcW w:w="5847" w:type="dxa"/>
          </w:tcPr>
          <w:p w14:paraId="27498382" w14:textId="278CE1EC" w:rsidR="00511CA0" w:rsidRDefault="00511CA0" w:rsidP="006B26E6">
            <w:pPr>
              <w:rPr>
                <w:rStyle w:val="s2"/>
              </w:rPr>
            </w:pPr>
            <w:r w:rsidRPr="004841C4">
              <w:rPr>
                <w:b/>
                <w:bCs/>
              </w:rPr>
              <w:t>AL</w:t>
            </w:r>
            <w:r w:rsidR="00DB567F">
              <w:t>- Gave</w:t>
            </w:r>
            <w:r>
              <w:t xml:space="preserve"> a summary of </w:t>
            </w:r>
            <w:r>
              <w:rPr>
                <w:rStyle w:val="s2"/>
              </w:rPr>
              <w:t xml:space="preserve">Meetings attended as has been picking up some of Becky’s work </w:t>
            </w:r>
            <w:r w:rsidR="000D7F71">
              <w:rPr>
                <w:rStyle w:val="s2"/>
              </w:rPr>
              <w:t>whilst</w:t>
            </w:r>
            <w:r>
              <w:rPr>
                <w:rStyle w:val="s2"/>
              </w:rPr>
              <w:t xml:space="preserve"> </w:t>
            </w:r>
            <w:r w:rsidR="000D7F71">
              <w:rPr>
                <w:rStyle w:val="s2"/>
              </w:rPr>
              <w:t>on</w:t>
            </w:r>
            <w:r>
              <w:rPr>
                <w:rStyle w:val="s2"/>
              </w:rPr>
              <w:t xml:space="preserve"> Maternity Leave.</w:t>
            </w:r>
          </w:p>
          <w:p w14:paraId="60FB028B" w14:textId="4F0FE28B" w:rsidR="00511CA0" w:rsidRDefault="00511CA0" w:rsidP="000D7F71">
            <w:pPr>
              <w:pStyle w:val="NoSpacing"/>
            </w:pPr>
            <w:r w:rsidRPr="00301797">
              <w:rPr>
                <w:b/>
                <w:bCs/>
              </w:rPr>
              <w:t xml:space="preserve">SB </w:t>
            </w:r>
            <w:r>
              <w:t xml:space="preserve">– </w:t>
            </w:r>
            <w:r w:rsidR="005A7908">
              <w:t>A summary of work was presented at the meeting.</w:t>
            </w:r>
          </w:p>
          <w:p w14:paraId="21BB45EB" w14:textId="5448B2F8" w:rsidR="005A7908" w:rsidRPr="0031746B" w:rsidRDefault="005A7908" w:rsidP="0031746B">
            <w:pPr>
              <w:rPr>
                <w:rFonts w:cstheme="minorHAnsi"/>
                <w:bCs/>
              </w:rPr>
            </w:pPr>
            <w:r>
              <w:rPr>
                <w:rFonts w:cstheme="minorHAnsi"/>
                <w:bCs/>
              </w:rPr>
              <w:t xml:space="preserve">SB and AL </w:t>
            </w:r>
            <w:r w:rsidR="000D7F71">
              <w:rPr>
                <w:rFonts w:cstheme="minorHAnsi"/>
                <w:bCs/>
              </w:rPr>
              <w:t>covering</w:t>
            </w:r>
            <w:r>
              <w:rPr>
                <w:rFonts w:cstheme="minorHAnsi"/>
                <w:bCs/>
              </w:rPr>
              <w:t xml:space="preserve"> additional workload during RM maternity Leave.</w:t>
            </w:r>
          </w:p>
        </w:tc>
        <w:tc>
          <w:tcPr>
            <w:tcW w:w="1380" w:type="dxa"/>
          </w:tcPr>
          <w:p w14:paraId="7F510584" w14:textId="77777777" w:rsidR="00511CA0" w:rsidRDefault="00511CA0" w:rsidP="006B26E6">
            <w:pPr>
              <w:rPr>
                <w:b/>
                <w:bCs/>
              </w:rPr>
            </w:pPr>
          </w:p>
          <w:p w14:paraId="52DD292D" w14:textId="77777777" w:rsidR="005A7908" w:rsidRDefault="005A7908" w:rsidP="006B26E6">
            <w:pPr>
              <w:rPr>
                <w:b/>
                <w:bCs/>
              </w:rPr>
            </w:pPr>
          </w:p>
          <w:p w14:paraId="484A84FF" w14:textId="77777777" w:rsidR="005A7908" w:rsidRDefault="005A7908" w:rsidP="006B26E6">
            <w:pPr>
              <w:rPr>
                <w:b/>
                <w:bCs/>
              </w:rPr>
            </w:pPr>
          </w:p>
          <w:p w14:paraId="41E3E7A6" w14:textId="77777777" w:rsidR="005A7908" w:rsidRDefault="005A7908" w:rsidP="006B26E6">
            <w:pPr>
              <w:rPr>
                <w:b/>
                <w:bCs/>
              </w:rPr>
            </w:pPr>
          </w:p>
          <w:p w14:paraId="763D77AC" w14:textId="0406AC70" w:rsidR="005A7908" w:rsidRPr="004841C4" w:rsidRDefault="005A7908" w:rsidP="006B26E6">
            <w:pPr>
              <w:rPr>
                <w:b/>
                <w:bCs/>
              </w:rPr>
            </w:pPr>
          </w:p>
        </w:tc>
      </w:tr>
      <w:tr w:rsidR="00511CA0" w14:paraId="1B19AB63" w14:textId="2F250941" w:rsidTr="000D7F71">
        <w:tc>
          <w:tcPr>
            <w:tcW w:w="1789" w:type="dxa"/>
          </w:tcPr>
          <w:p w14:paraId="145CB21A" w14:textId="5A5C75A7" w:rsidR="00511CA0" w:rsidRPr="004841C4" w:rsidRDefault="00511CA0" w:rsidP="00367CA8">
            <w:pPr>
              <w:rPr>
                <w:b/>
                <w:bCs/>
                <w:u w:val="single"/>
              </w:rPr>
            </w:pPr>
            <w:r w:rsidRPr="004841C4">
              <w:rPr>
                <w:b/>
                <w:bCs/>
                <w:u w:val="single"/>
              </w:rPr>
              <w:t>Treasurer</w:t>
            </w:r>
            <w:r w:rsidR="008C35F9">
              <w:rPr>
                <w:b/>
                <w:bCs/>
                <w:u w:val="single"/>
              </w:rPr>
              <w:t xml:space="preserve"> </w:t>
            </w:r>
            <w:r w:rsidRPr="004841C4">
              <w:rPr>
                <w:b/>
                <w:bCs/>
                <w:u w:val="single"/>
              </w:rPr>
              <w:t>update</w:t>
            </w:r>
          </w:p>
        </w:tc>
        <w:tc>
          <w:tcPr>
            <w:tcW w:w="5847" w:type="dxa"/>
          </w:tcPr>
          <w:p w14:paraId="23B969B9" w14:textId="6E267D1A" w:rsidR="00511CA0" w:rsidRPr="00BE0C6B" w:rsidRDefault="000D7F71" w:rsidP="009173AC">
            <w:r>
              <w:t>Nothing to report</w:t>
            </w:r>
          </w:p>
        </w:tc>
        <w:tc>
          <w:tcPr>
            <w:tcW w:w="1380" w:type="dxa"/>
          </w:tcPr>
          <w:p w14:paraId="3AE0E18C" w14:textId="1FC8D0AE" w:rsidR="005A7908" w:rsidRPr="001E41F6" w:rsidRDefault="005A7908" w:rsidP="009173AC">
            <w:pPr>
              <w:rPr>
                <w:b/>
                <w:bCs/>
              </w:rPr>
            </w:pPr>
          </w:p>
        </w:tc>
      </w:tr>
      <w:tr w:rsidR="00511CA0" w14:paraId="5AC41ADA" w14:textId="60399704" w:rsidTr="000D7F71">
        <w:tc>
          <w:tcPr>
            <w:tcW w:w="1789" w:type="dxa"/>
          </w:tcPr>
          <w:p w14:paraId="508E394D" w14:textId="317ED148" w:rsidR="00511CA0" w:rsidRPr="004841C4" w:rsidRDefault="002F77DC" w:rsidP="00367CA8">
            <w:pPr>
              <w:rPr>
                <w:b/>
                <w:bCs/>
                <w:u w:val="single"/>
              </w:rPr>
            </w:pPr>
            <w:r>
              <w:rPr>
                <w:b/>
                <w:bCs/>
                <w:u w:val="single"/>
              </w:rPr>
              <w:t>Fuller Stocktake</w:t>
            </w:r>
          </w:p>
        </w:tc>
        <w:tc>
          <w:tcPr>
            <w:tcW w:w="5847" w:type="dxa"/>
          </w:tcPr>
          <w:p w14:paraId="7B392818" w14:textId="2844F191" w:rsidR="00511CA0" w:rsidRPr="00BE0C6B" w:rsidRDefault="002F77DC" w:rsidP="009173AC">
            <w:r>
              <w:t xml:space="preserve">AL gave an overview, mainly focused on Primary care </w:t>
            </w:r>
            <w:r w:rsidR="003F3EF2">
              <w:t xml:space="preserve">and services – How systems can work together. Keen to work together but no cohort on funding. AL to continue discussions with AJ working at a local level.                                                                     </w:t>
            </w:r>
          </w:p>
        </w:tc>
        <w:tc>
          <w:tcPr>
            <w:tcW w:w="1380" w:type="dxa"/>
          </w:tcPr>
          <w:p w14:paraId="70C3A111" w14:textId="77777777" w:rsidR="00511CA0" w:rsidRDefault="00511CA0" w:rsidP="009173AC"/>
          <w:p w14:paraId="525EFE3F" w14:textId="77777777" w:rsidR="001E41F6" w:rsidRDefault="001E41F6" w:rsidP="009173AC"/>
          <w:p w14:paraId="131C4CF1" w14:textId="77777777" w:rsidR="001E41F6" w:rsidRDefault="001E41F6" w:rsidP="009173AC"/>
          <w:p w14:paraId="1C636885" w14:textId="6B327403" w:rsidR="001E41F6" w:rsidRPr="001E41F6" w:rsidRDefault="001E41F6" w:rsidP="009173AC">
            <w:pPr>
              <w:rPr>
                <w:b/>
                <w:bCs/>
              </w:rPr>
            </w:pPr>
          </w:p>
        </w:tc>
      </w:tr>
      <w:tr w:rsidR="00511CA0" w14:paraId="323274BE" w14:textId="2CAD77A8" w:rsidTr="000D7F71">
        <w:tc>
          <w:tcPr>
            <w:tcW w:w="1789" w:type="dxa"/>
          </w:tcPr>
          <w:p w14:paraId="64214E83" w14:textId="7CBC7481" w:rsidR="00511CA0" w:rsidRDefault="00511CA0" w:rsidP="00367CA8">
            <w:pPr>
              <w:rPr>
                <w:b/>
                <w:bCs/>
                <w:u w:val="single"/>
              </w:rPr>
            </w:pPr>
            <w:r>
              <w:rPr>
                <w:b/>
                <w:bCs/>
                <w:u w:val="single"/>
              </w:rPr>
              <w:t>PNA</w:t>
            </w:r>
          </w:p>
        </w:tc>
        <w:tc>
          <w:tcPr>
            <w:tcW w:w="5847" w:type="dxa"/>
          </w:tcPr>
          <w:p w14:paraId="4782ED24" w14:textId="77777777" w:rsidR="00511CA0" w:rsidRDefault="001A37AC" w:rsidP="009173AC">
            <w:r>
              <w:t>VA reviewed PNA for LPC and comments returned to GCC.</w:t>
            </w:r>
          </w:p>
          <w:p w14:paraId="6CCDE761" w14:textId="0F5C7805" w:rsidR="001A37AC" w:rsidRDefault="001A37AC" w:rsidP="009173AC">
            <w:r>
              <w:t>NHSE dealing with specific Pharmacy performance issues.</w:t>
            </w:r>
          </w:p>
        </w:tc>
        <w:tc>
          <w:tcPr>
            <w:tcW w:w="1380" w:type="dxa"/>
          </w:tcPr>
          <w:p w14:paraId="11B9D624" w14:textId="77777777" w:rsidR="00511CA0" w:rsidRDefault="00511CA0" w:rsidP="009173AC"/>
          <w:p w14:paraId="15D42A7F" w14:textId="4A47C755" w:rsidR="001E41F6" w:rsidRPr="001E41F6" w:rsidRDefault="001E41F6" w:rsidP="009173AC">
            <w:pPr>
              <w:rPr>
                <w:b/>
                <w:bCs/>
              </w:rPr>
            </w:pPr>
          </w:p>
        </w:tc>
      </w:tr>
      <w:tr w:rsidR="00511CA0" w14:paraId="0221EF7F" w14:textId="076F0209" w:rsidTr="000D7F71">
        <w:tc>
          <w:tcPr>
            <w:tcW w:w="1789" w:type="dxa"/>
          </w:tcPr>
          <w:p w14:paraId="0041B56D" w14:textId="24DFACBB" w:rsidR="00511CA0" w:rsidRPr="004841C4" w:rsidRDefault="00511CA0" w:rsidP="00367CA8">
            <w:pPr>
              <w:rPr>
                <w:b/>
                <w:bCs/>
                <w:u w:val="single"/>
              </w:rPr>
            </w:pPr>
            <w:r>
              <w:rPr>
                <w:b/>
                <w:bCs/>
                <w:u w:val="single"/>
              </w:rPr>
              <w:t>Unplanned Closures</w:t>
            </w:r>
          </w:p>
        </w:tc>
        <w:tc>
          <w:tcPr>
            <w:tcW w:w="5847" w:type="dxa"/>
          </w:tcPr>
          <w:p w14:paraId="73D9B5D7" w14:textId="0EDA0FE2" w:rsidR="00511CA0" w:rsidRPr="00BE0C6B" w:rsidRDefault="00511CA0" w:rsidP="009173AC">
            <w:r>
              <w:t xml:space="preserve">Stroud MP letter discussing poor customer service at a Gloucestershire Pharmacy </w:t>
            </w:r>
            <w:r w:rsidR="001A37AC">
              <w:t xml:space="preserve">update reviewed and </w:t>
            </w:r>
            <w:r w:rsidR="003F4ABE">
              <w:t xml:space="preserve">extensive </w:t>
            </w:r>
            <w:r w:rsidR="001A37AC">
              <w:t>efforts made by contractor to improve service. LPC to monitor.</w:t>
            </w:r>
          </w:p>
        </w:tc>
        <w:tc>
          <w:tcPr>
            <w:tcW w:w="1380" w:type="dxa"/>
          </w:tcPr>
          <w:p w14:paraId="48ADDA14" w14:textId="77777777" w:rsidR="00511CA0" w:rsidRDefault="00511CA0" w:rsidP="009173AC"/>
        </w:tc>
      </w:tr>
      <w:tr w:rsidR="00511CA0" w14:paraId="77AE8FD8" w14:textId="5093FDB1" w:rsidTr="000D7F71">
        <w:tc>
          <w:tcPr>
            <w:tcW w:w="1789" w:type="dxa"/>
          </w:tcPr>
          <w:p w14:paraId="154B5D97" w14:textId="102E3A7C" w:rsidR="00511CA0" w:rsidRPr="004841C4" w:rsidRDefault="00511CA0" w:rsidP="00367CA8">
            <w:pPr>
              <w:rPr>
                <w:b/>
                <w:bCs/>
                <w:u w:val="single"/>
              </w:rPr>
            </w:pPr>
            <w:r>
              <w:rPr>
                <w:b/>
                <w:bCs/>
                <w:u w:val="single"/>
              </w:rPr>
              <w:t>LPC Website</w:t>
            </w:r>
          </w:p>
        </w:tc>
        <w:tc>
          <w:tcPr>
            <w:tcW w:w="5847" w:type="dxa"/>
          </w:tcPr>
          <w:p w14:paraId="07523457" w14:textId="19F9AF12" w:rsidR="002F77DC" w:rsidRPr="00A14D93" w:rsidRDefault="00F5492D" w:rsidP="00367CA8">
            <w:r>
              <w:t>Broken links and access have now been resolved. SB to begin updating website.</w:t>
            </w:r>
          </w:p>
        </w:tc>
        <w:tc>
          <w:tcPr>
            <w:tcW w:w="1380" w:type="dxa"/>
          </w:tcPr>
          <w:p w14:paraId="6AF66D59" w14:textId="56429BB4" w:rsidR="00511CA0" w:rsidRPr="001E41F6" w:rsidRDefault="00F5492D" w:rsidP="00367CA8">
            <w:pPr>
              <w:rPr>
                <w:b/>
                <w:bCs/>
              </w:rPr>
            </w:pPr>
            <w:r>
              <w:rPr>
                <w:b/>
                <w:bCs/>
              </w:rPr>
              <w:t>SB</w:t>
            </w:r>
          </w:p>
          <w:p w14:paraId="587853A1" w14:textId="0F1D5A20" w:rsidR="001E41F6" w:rsidRPr="001E41F6" w:rsidRDefault="001E41F6" w:rsidP="00367CA8">
            <w:pPr>
              <w:rPr>
                <w:b/>
                <w:bCs/>
              </w:rPr>
            </w:pPr>
          </w:p>
        </w:tc>
      </w:tr>
      <w:tr w:rsidR="00511CA0" w14:paraId="1F1ACD2E" w14:textId="1B2D29A6" w:rsidTr="000D7F71">
        <w:tc>
          <w:tcPr>
            <w:tcW w:w="1789" w:type="dxa"/>
          </w:tcPr>
          <w:p w14:paraId="422C162F" w14:textId="56416132" w:rsidR="00511CA0" w:rsidRPr="004841C4" w:rsidRDefault="00511CA0">
            <w:pPr>
              <w:rPr>
                <w:b/>
                <w:bCs/>
                <w:u w:val="single"/>
              </w:rPr>
            </w:pPr>
            <w:r>
              <w:rPr>
                <w:b/>
                <w:bCs/>
                <w:u w:val="single"/>
              </w:rPr>
              <w:t>PCN Leads</w:t>
            </w:r>
          </w:p>
        </w:tc>
        <w:tc>
          <w:tcPr>
            <w:tcW w:w="5847" w:type="dxa"/>
          </w:tcPr>
          <w:p w14:paraId="78924981" w14:textId="53DB4EBC" w:rsidR="00511CA0" w:rsidRDefault="002F0620" w:rsidP="0064075E">
            <w:r>
              <w:t xml:space="preserve">Kledion, Peter, Rosalba, Will, Neetan and Jessica attended the </w:t>
            </w:r>
            <w:proofErr w:type="gramStart"/>
            <w:r>
              <w:t>face to face</w:t>
            </w:r>
            <w:proofErr w:type="gramEnd"/>
            <w:r>
              <w:t xml:space="preserve"> PCN Leads training in June. NJ stated that the workload was quite heavy for training. PB stated that he felt the training was constructive. He also mentioned that there is no incentive for PCN leads and would like to see it included in the next round of PQS</w:t>
            </w:r>
            <w:r w:rsidR="003F4ABE">
              <w:t>.</w:t>
            </w:r>
            <w:r>
              <w:t xml:space="preserve"> MM was previously interested in a PCN Lead </w:t>
            </w:r>
            <w:r w:rsidR="003F4ABE">
              <w:t>role;</w:t>
            </w:r>
            <w:r w:rsidR="001A37AC">
              <w:t xml:space="preserve"> Lloyds are not encouraging staff to put themselves forward for PCN Lead roles. SB to ask for feedback on training from PCN Leads and share with committee.</w:t>
            </w:r>
          </w:p>
        </w:tc>
        <w:tc>
          <w:tcPr>
            <w:tcW w:w="1380" w:type="dxa"/>
          </w:tcPr>
          <w:p w14:paraId="5FA4E9F3" w14:textId="77777777" w:rsidR="00511CA0" w:rsidRDefault="00511CA0" w:rsidP="0064075E"/>
          <w:p w14:paraId="7F466AC3" w14:textId="77777777" w:rsidR="001A37AC" w:rsidRDefault="001A37AC" w:rsidP="0064075E"/>
          <w:p w14:paraId="3B21EC4D" w14:textId="77777777" w:rsidR="001A37AC" w:rsidRDefault="001A37AC" w:rsidP="0064075E"/>
          <w:p w14:paraId="20054FD0" w14:textId="77777777" w:rsidR="001A37AC" w:rsidRDefault="001A37AC" w:rsidP="0064075E"/>
          <w:p w14:paraId="7F932469" w14:textId="77777777" w:rsidR="001A37AC" w:rsidRDefault="001A37AC" w:rsidP="0064075E"/>
          <w:p w14:paraId="606859D5" w14:textId="77777777" w:rsidR="001A37AC" w:rsidRDefault="001A37AC" w:rsidP="0064075E"/>
          <w:p w14:paraId="4686967C" w14:textId="77777777" w:rsidR="001A37AC" w:rsidRDefault="001A37AC" w:rsidP="0064075E"/>
          <w:p w14:paraId="2EA376D5" w14:textId="45747C5A" w:rsidR="001A37AC" w:rsidRPr="001A37AC" w:rsidRDefault="001A37AC" w:rsidP="0064075E">
            <w:pPr>
              <w:rPr>
                <w:b/>
                <w:bCs/>
              </w:rPr>
            </w:pPr>
            <w:r w:rsidRPr="001A37AC">
              <w:rPr>
                <w:b/>
                <w:bCs/>
              </w:rPr>
              <w:t>SB</w:t>
            </w:r>
          </w:p>
        </w:tc>
      </w:tr>
      <w:tr w:rsidR="00511CA0" w14:paraId="66100289" w14:textId="0CD2B23D" w:rsidTr="000D7F71">
        <w:tc>
          <w:tcPr>
            <w:tcW w:w="1789" w:type="dxa"/>
          </w:tcPr>
          <w:p w14:paraId="0D74A2E0" w14:textId="6BCAB558" w:rsidR="00511CA0" w:rsidRDefault="00511CA0">
            <w:pPr>
              <w:rPr>
                <w:b/>
                <w:bCs/>
                <w:u w:val="single"/>
              </w:rPr>
            </w:pPr>
            <w:r>
              <w:rPr>
                <w:b/>
                <w:bCs/>
                <w:u w:val="single"/>
              </w:rPr>
              <w:t>HCFS</w:t>
            </w:r>
          </w:p>
        </w:tc>
        <w:tc>
          <w:tcPr>
            <w:tcW w:w="5847" w:type="dxa"/>
          </w:tcPr>
          <w:p w14:paraId="195A6809" w14:textId="77777777" w:rsidR="00511CA0" w:rsidRDefault="003F3EF2">
            <w:r>
              <w:t xml:space="preserve">SB shared data from </w:t>
            </w:r>
            <w:proofErr w:type="spellStart"/>
            <w:r>
              <w:t>PharmOucomes</w:t>
            </w:r>
            <w:proofErr w:type="spellEnd"/>
            <w:r>
              <w:t xml:space="preserve"> – 550 plus HCFS BP monitoring consultations recorded, does not include all data.</w:t>
            </w:r>
          </w:p>
          <w:p w14:paraId="4E993195" w14:textId="7F6E7057" w:rsidR="003F3EF2" w:rsidRDefault="003F3EF2">
            <w:r>
              <w:t>Avon have shared useful docs for surgeries and info for Pharmacies, SB has updated for Glos and will share with Cardio PCN lead and Contractors.</w:t>
            </w:r>
          </w:p>
        </w:tc>
        <w:tc>
          <w:tcPr>
            <w:tcW w:w="1380" w:type="dxa"/>
          </w:tcPr>
          <w:p w14:paraId="74B6AA77" w14:textId="77777777" w:rsidR="00511CA0" w:rsidRDefault="00511CA0"/>
          <w:p w14:paraId="5B1C0ED4" w14:textId="77777777" w:rsidR="003F3EF2" w:rsidRDefault="003F3EF2"/>
          <w:p w14:paraId="4F0DFADF" w14:textId="77777777" w:rsidR="003F3EF2" w:rsidRDefault="003F3EF2"/>
          <w:p w14:paraId="4371516D" w14:textId="77777777" w:rsidR="003F3EF2" w:rsidRDefault="003F3EF2"/>
          <w:p w14:paraId="0A0C828A" w14:textId="564EDCA9" w:rsidR="003F3EF2" w:rsidRPr="003F3EF2" w:rsidRDefault="003F3EF2">
            <w:pPr>
              <w:rPr>
                <w:b/>
                <w:bCs/>
              </w:rPr>
            </w:pPr>
            <w:r w:rsidRPr="003F3EF2">
              <w:rPr>
                <w:b/>
                <w:bCs/>
              </w:rPr>
              <w:t>SB</w:t>
            </w:r>
          </w:p>
        </w:tc>
      </w:tr>
      <w:tr w:rsidR="00B62722" w14:paraId="44593C3E" w14:textId="77777777" w:rsidTr="000D7F71">
        <w:tc>
          <w:tcPr>
            <w:tcW w:w="1789" w:type="dxa"/>
          </w:tcPr>
          <w:p w14:paraId="3D6C22AB" w14:textId="2AB30BF3" w:rsidR="00B62722" w:rsidRDefault="00B62722">
            <w:pPr>
              <w:rPr>
                <w:b/>
                <w:bCs/>
                <w:u w:val="single"/>
              </w:rPr>
            </w:pPr>
            <w:r>
              <w:rPr>
                <w:b/>
                <w:bCs/>
                <w:u w:val="single"/>
              </w:rPr>
              <w:lastRenderedPageBreak/>
              <w:t>CGL</w:t>
            </w:r>
          </w:p>
        </w:tc>
        <w:tc>
          <w:tcPr>
            <w:tcW w:w="5847" w:type="dxa"/>
          </w:tcPr>
          <w:p w14:paraId="787AD89A" w14:textId="5FFD04A0" w:rsidR="00B62722" w:rsidRDefault="00BF3898">
            <w:r>
              <w:t xml:space="preserve">SB had meeting with AJ and Rae Davis (CGL) regarding service provision issues, not being notified of closures and service users having trouble accessing meds. </w:t>
            </w:r>
            <w:r w:rsidR="003F4ABE">
              <w:t>Also,</w:t>
            </w:r>
            <w:r>
              <w:t xml:space="preserve"> higher level of lost Rx’s experienced over recent months. RD to share with SB specific Pharmacies and contact details so SB can share with Contractors and reinforce procedure for closures. </w:t>
            </w:r>
          </w:p>
        </w:tc>
        <w:tc>
          <w:tcPr>
            <w:tcW w:w="1380" w:type="dxa"/>
          </w:tcPr>
          <w:p w14:paraId="4AB5EB41" w14:textId="77777777" w:rsidR="00B62722" w:rsidRDefault="00B62722"/>
          <w:p w14:paraId="1922D10A" w14:textId="77777777" w:rsidR="00BF3898" w:rsidRDefault="00BF3898"/>
          <w:p w14:paraId="6C688D14" w14:textId="77777777" w:rsidR="00BF3898" w:rsidRDefault="00BF3898"/>
          <w:p w14:paraId="5170DFE8" w14:textId="77777777" w:rsidR="00BF3898" w:rsidRDefault="00BF3898"/>
          <w:p w14:paraId="37DCBF5B" w14:textId="77777777" w:rsidR="00BF3898" w:rsidRDefault="00BF3898"/>
          <w:p w14:paraId="1BD48E06" w14:textId="35FBE9B7" w:rsidR="00BF3898" w:rsidRPr="00BF3898" w:rsidRDefault="00BF3898">
            <w:pPr>
              <w:rPr>
                <w:b/>
                <w:bCs/>
              </w:rPr>
            </w:pPr>
            <w:r w:rsidRPr="00BF3898">
              <w:rPr>
                <w:b/>
                <w:bCs/>
              </w:rPr>
              <w:t>SB</w:t>
            </w:r>
          </w:p>
        </w:tc>
      </w:tr>
      <w:tr w:rsidR="00B62722" w14:paraId="2AE997A6" w14:textId="77777777" w:rsidTr="000D7F71">
        <w:tc>
          <w:tcPr>
            <w:tcW w:w="1789" w:type="dxa"/>
          </w:tcPr>
          <w:p w14:paraId="793F6944" w14:textId="01B01892" w:rsidR="00B62722" w:rsidRDefault="00B62722">
            <w:pPr>
              <w:rPr>
                <w:b/>
                <w:bCs/>
                <w:u w:val="single"/>
              </w:rPr>
            </w:pPr>
            <w:r>
              <w:rPr>
                <w:b/>
                <w:bCs/>
                <w:u w:val="single"/>
              </w:rPr>
              <w:t xml:space="preserve">Flu </w:t>
            </w:r>
          </w:p>
        </w:tc>
        <w:tc>
          <w:tcPr>
            <w:tcW w:w="5847" w:type="dxa"/>
          </w:tcPr>
          <w:p w14:paraId="10B64B1E" w14:textId="6B6A3A7A" w:rsidR="00B62722" w:rsidRDefault="00BF3898">
            <w:r>
              <w:t xml:space="preserve">Start of Flu meetings for 22/23 season. GCC first project meeting. AL attended and positive comments from GCC on support for last </w:t>
            </w:r>
            <w:r w:rsidR="001A2A2B">
              <w:t>year’s</w:t>
            </w:r>
            <w:r>
              <w:t xml:space="preserve"> campaign from LPC</w:t>
            </w:r>
            <w:r w:rsidR="001A2A2B">
              <w:t>.</w:t>
            </w:r>
            <w:r>
              <w:t xml:space="preserve"> SB unable to attend</w:t>
            </w:r>
            <w:r w:rsidR="001A2A2B">
              <w:t xml:space="preserve"> but did comment on project paper prior to meeting. Discussed </w:t>
            </w:r>
            <w:proofErr w:type="spellStart"/>
            <w:r w:rsidR="001A2A2B">
              <w:t>PharmOutcomes</w:t>
            </w:r>
            <w:proofErr w:type="spellEnd"/>
            <w:r w:rsidR="001A2A2B">
              <w:t>, EOI’s, proformas, funding and backfill payment to Pharmacists supporting Fire Station Drive Throughs.</w:t>
            </w:r>
            <w:r>
              <w:t xml:space="preserve"> </w:t>
            </w:r>
            <w:r w:rsidR="003F4ABE">
              <w:t xml:space="preserve">SB to start EOI and </w:t>
            </w:r>
            <w:proofErr w:type="spellStart"/>
            <w:r w:rsidR="003F4ABE">
              <w:t>PharmOutcomes</w:t>
            </w:r>
            <w:proofErr w:type="spellEnd"/>
            <w:r w:rsidR="003F4ABE">
              <w:t xml:space="preserve"> process once funding has been agreed.</w:t>
            </w:r>
          </w:p>
        </w:tc>
        <w:tc>
          <w:tcPr>
            <w:tcW w:w="1380" w:type="dxa"/>
          </w:tcPr>
          <w:p w14:paraId="1FC44255" w14:textId="77777777" w:rsidR="00B62722" w:rsidRDefault="00B62722"/>
          <w:p w14:paraId="4DA49869" w14:textId="77777777" w:rsidR="003F4ABE" w:rsidRDefault="003F4ABE"/>
          <w:p w14:paraId="175C54BF" w14:textId="77777777" w:rsidR="003F4ABE" w:rsidRDefault="003F4ABE"/>
          <w:p w14:paraId="47DED978" w14:textId="77777777" w:rsidR="003F4ABE" w:rsidRDefault="003F4ABE"/>
          <w:p w14:paraId="618433DE" w14:textId="77777777" w:rsidR="003F4ABE" w:rsidRDefault="003F4ABE"/>
          <w:p w14:paraId="0F64E8EF" w14:textId="77777777" w:rsidR="003F4ABE" w:rsidRDefault="003F4ABE"/>
          <w:p w14:paraId="5BE3E261" w14:textId="77777777" w:rsidR="003F4ABE" w:rsidRDefault="003F4ABE"/>
          <w:p w14:paraId="3C6C89A7" w14:textId="2FF7F30E" w:rsidR="003F4ABE" w:rsidRPr="003F4ABE" w:rsidRDefault="003F4ABE">
            <w:pPr>
              <w:rPr>
                <w:b/>
                <w:bCs/>
              </w:rPr>
            </w:pPr>
            <w:r w:rsidRPr="003F4ABE">
              <w:rPr>
                <w:b/>
                <w:bCs/>
              </w:rPr>
              <w:t>SB</w:t>
            </w:r>
          </w:p>
        </w:tc>
      </w:tr>
      <w:tr w:rsidR="00511CA0" w14:paraId="47CD7AD5" w14:textId="1CF89A56" w:rsidTr="000D7F71">
        <w:tc>
          <w:tcPr>
            <w:tcW w:w="1789" w:type="dxa"/>
          </w:tcPr>
          <w:p w14:paraId="03D17CED" w14:textId="77777777" w:rsidR="00511CA0" w:rsidRDefault="00F0370B">
            <w:pPr>
              <w:rPr>
                <w:b/>
                <w:bCs/>
                <w:u w:val="single"/>
              </w:rPr>
            </w:pPr>
            <w:r>
              <w:rPr>
                <w:b/>
                <w:bCs/>
                <w:u w:val="single"/>
              </w:rPr>
              <w:t>ICB/</w:t>
            </w:r>
            <w:r w:rsidR="00511CA0">
              <w:rPr>
                <w:b/>
                <w:bCs/>
                <w:u w:val="single"/>
              </w:rPr>
              <w:t>Workforce</w:t>
            </w:r>
          </w:p>
          <w:p w14:paraId="12F58D73" w14:textId="1D5AFBE4" w:rsidR="00F0370B" w:rsidRDefault="00F0370B">
            <w:pPr>
              <w:rPr>
                <w:b/>
                <w:bCs/>
                <w:u w:val="single"/>
              </w:rPr>
            </w:pPr>
            <w:r>
              <w:rPr>
                <w:b/>
                <w:bCs/>
                <w:u w:val="single"/>
              </w:rPr>
              <w:t>Update - SW</w:t>
            </w:r>
          </w:p>
        </w:tc>
        <w:tc>
          <w:tcPr>
            <w:tcW w:w="5847" w:type="dxa"/>
          </w:tcPr>
          <w:p w14:paraId="719F83A7" w14:textId="1A427F2E" w:rsidR="00511CA0" w:rsidRDefault="00511CA0">
            <w:r>
              <w:t xml:space="preserve">Sian Williams </w:t>
            </w:r>
            <w:r w:rsidR="003F3EF2">
              <w:t>presented slides</w:t>
            </w:r>
            <w:r w:rsidR="008A4989">
              <w:t xml:space="preserve">, defining plans and mapping service for IP training and Technicians. Pharmacists no longer </w:t>
            </w:r>
            <w:r w:rsidR="00F0370B">
              <w:t>must</w:t>
            </w:r>
            <w:r w:rsidR="008A4989">
              <w:t xml:space="preserve"> wait 2 years post qualified. Funded places are only going to be offered through select Universities.</w:t>
            </w:r>
            <w:r w:rsidR="00F0370B">
              <w:t xml:space="preserve"> Shortage of DPP’s for IP training. SW to share document on how to find DPP. Technician training push to take advantage of funding as possibly last opportunity.</w:t>
            </w:r>
          </w:p>
          <w:p w14:paraId="714038BC" w14:textId="2AD345CE" w:rsidR="00F0370B" w:rsidRDefault="00F0370B">
            <w:r>
              <w:t>LPC discussed funding available to support ICB priorities</w:t>
            </w:r>
            <w:r w:rsidR="00277182">
              <w:t xml:space="preserve">. AL suggested holding a workshop ICB/LPC to define the plan and resource and execute across estate. </w:t>
            </w:r>
          </w:p>
        </w:tc>
        <w:tc>
          <w:tcPr>
            <w:tcW w:w="1380" w:type="dxa"/>
          </w:tcPr>
          <w:p w14:paraId="1AD3CC12" w14:textId="77777777" w:rsidR="00511CA0" w:rsidRDefault="00511CA0"/>
          <w:p w14:paraId="1C9B47C3" w14:textId="77777777" w:rsidR="001E41F6" w:rsidRDefault="001E41F6"/>
          <w:p w14:paraId="441BF6D3" w14:textId="77777777" w:rsidR="00277182" w:rsidRDefault="00277182"/>
          <w:p w14:paraId="3A36CDA4" w14:textId="77777777" w:rsidR="00277182" w:rsidRDefault="00277182"/>
          <w:p w14:paraId="1FD98FDC" w14:textId="77777777" w:rsidR="00277182" w:rsidRDefault="00277182"/>
          <w:p w14:paraId="172E160D" w14:textId="77777777" w:rsidR="00277182" w:rsidRDefault="00277182"/>
          <w:p w14:paraId="42916681" w14:textId="77777777" w:rsidR="00277182" w:rsidRDefault="00277182"/>
          <w:p w14:paraId="7517C08F" w14:textId="77777777" w:rsidR="00277182" w:rsidRDefault="00277182"/>
          <w:p w14:paraId="47438E79" w14:textId="77777777" w:rsidR="00277182" w:rsidRDefault="00277182"/>
          <w:p w14:paraId="0845A38C" w14:textId="53A63B41" w:rsidR="00277182" w:rsidRPr="00277182" w:rsidRDefault="00277182">
            <w:pPr>
              <w:rPr>
                <w:b/>
                <w:bCs/>
              </w:rPr>
            </w:pPr>
            <w:r w:rsidRPr="00277182">
              <w:rPr>
                <w:b/>
                <w:bCs/>
              </w:rPr>
              <w:t>AL</w:t>
            </w:r>
          </w:p>
        </w:tc>
      </w:tr>
      <w:tr w:rsidR="00511CA0" w14:paraId="409F39E8" w14:textId="687D819D" w:rsidTr="000D7F71">
        <w:tc>
          <w:tcPr>
            <w:tcW w:w="1789" w:type="dxa"/>
          </w:tcPr>
          <w:p w14:paraId="41C96A84" w14:textId="7E76DBFA" w:rsidR="00511CA0" w:rsidRDefault="00511CA0">
            <w:pPr>
              <w:rPr>
                <w:b/>
                <w:bCs/>
                <w:u w:val="single"/>
              </w:rPr>
            </w:pPr>
            <w:r>
              <w:rPr>
                <w:b/>
                <w:bCs/>
                <w:u w:val="single"/>
              </w:rPr>
              <w:t xml:space="preserve">RSG </w:t>
            </w:r>
            <w:r w:rsidR="001A2A2B">
              <w:rPr>
                <w:b/>
                <w:bCs/>
                <w:u w:val="single"/>
              </w:rPr>
              <w:t>voting and outcome for LPC’s</w:t>
            </w:r>
          </w:p>
        </w:tc>
        <w:tc>
          <w:tcPr>
            <w:tcW w:w="5847" w:type="dxa"/>
          </w:tcPr>
          <w:p w14:paraId="67083326" w14:textId="7DFD229A" w:rsidR="00511CA0" w:rsidRDefault="00277182">
            <w:r>
              <w:t>Discussed Gloucestershire LPC and the voting outcome and how to meet RSG proposals. Agreed that Glos LPC is</w:t>
            </w:r>
            <w:r w:rsidR="00D8234B">
              <w:t xml:space="preserve"> well placed in the system. Proposed ICB workshop </w:t>
            </w:r>
            <w:r w:rsidR="003F4ABE">
              <w:t xml:space="preserve">and </w:t>
            </w:r>
            <w:r w:rsidR="00D8234B">
              <w:t>buying in expert support for projects and to facilitate workshop. AL to discuss with potential expert</w:t>
            </w:r>
            <w:r w:rsidR="003F4ABE">
              <w:t xml:space="preserve"> candidates</w:t>
            </w:r>
            <w:r w:rsidR="00D8234B">
              <w:t xml:space="preserve">. </w:t>
            </w:r>
            <w:r w:rsidR="00F31FBB">
              <w:t>Glos LPC without Chief Officer Role -</w:t>
            </w:r>
            <w:r w:rsidR="00D8234B">
              <w:t xml:space="preserve"> agreed a good time to recruit and align with other LPC’s. AL to discuss with RM</w:t>
            </w:r>
            <w:r w:rsidR="00F31FBB">
              <w:t>.</w:t>
            </w:r>
            <w:r>
              <w:t xml:space="preserve"> </w:t>
            </w:r>
            <w:r w:rsidR="00511CA0">
              <w:t xml:space="preserve"> </w:t>
            </w:r>
          </w:p>
        </w:tc>
        <w:tc>
          <w:tcPr>
            <w:tcW w:w="1380" w:type="dxa"/>
          </w:tcPr>
          <w:p w14:paraId="06173FE5" w14:textId="77777777" w:rsidR="00511CA0" w:rsidRDefault="00511CA0"/>
          <w:p w14:paraId="6AC6E392" w14:textId="77777777" w:rsidR="00F31FBB" w:rsidRDefault="00F31FBB"/>
          <w:p w14:paraId="2D23717B" w14:textId="77777777" w:rsidR="00F31FBB" w:rsidRDefault="00F31FBB"/>
          <w:p w14:paraId="02E7D8F2" w14:textId="77777777" w:rsidR="00F31FBB" w:rsidRDefault="00F31FBB"/>
          <w:p w14:paraId="58BFFBA4" w14:textId="77777777" w:rsidR="00F31FBB" w:rsidRDefault="00F31FBB"/>
          <w:p w14:paraId="3A0D7715" w14:textId="77777777" w:rsidR="00F31FBB" w:rsidRDefault="00F31FBB"/>
          <w:p w14:paraId="31E2539B" w14:textId="1BB4DC1C" w:rsidR="00F31FBB" w:rsidRPr="00F31FBB" w:rsidRDefault="00F31FBB">
            <w:pPr>
              <w:rPr>
                <w:b/>
                <w:bCs/>
              </w:rPr>
            </w:pPr>
            <w:r w:rsidRPr="00F31FBB">
              <w:rPr>
                <w:b/>
                <w:bCs/>
              </w:rPr>
              <w:t>AL</w:t>
            </w:r>
          </w:p>
        </w:tc>
      </w:tr>
      <w:tr w:rsidR="00F31FBB" w14:paraId="32323FE6" w14:textId="77777777" w:rsidTr="000D7F71">
        <w:tc>
          <w:tcPr>
            <w:tcW w:w="1789" w:type="dxa"/>
          </w:tcPr>
          <w:p w14:paraId="52487F94" w14:textId="267E9B4E" w:rsidR="00F31FBB" w:rsidRDefault="00F31FBB">
            <w:pPr>
              <w:rPr>
                <w:b/>
                <w:bCs/>
                <w:u w:val="single"/>
              </w:rPr>
            </w:pPr>
            <w:r>
              <w:rPr>
                <w:b/>
                <w:bCs/>
                <w:u w:val="single"/>
              </w:rPr>
              <w:t>PDG’s</w:t>
            </w:r>
          </w:p>
        </w:tc>
        <w:tc>
          <w:tcPr>
            <w:tcW w:w="5847" w:type="dxa"/>
          </w:tcPr>
          <w:p w14:paraId="425320CA" w14:textId="25AFA45A" w:rsidR="00F31FBB" w:rsidRDefault="00F31FBB">
            <w:r>
              <w:t xml:space="preserve">WP and NJ shared suite of PDG’s that Bath, North </w:t>
            </w:r>
            <w:r w:rsidR="008C35F9">
              <w:t>Somerset,</w:t>
            </w:r>
            <w:r>
              <w:t xml:space="preserve"> and Swindon/Wilshire have recently acquired from their ICB. </w:t>
            </w:r>
            <w:r w:rsidR="00B70FC6">
              <w:t>Includes</w:t>
            </w:r>
            <w:r>
              <w:t xml:space="preserve"> Hydrocortisone for face, Chloramphenicol, Impetigo treatments, UTI’s, sore throat. Committee keen to achieve same in Glos.</w:t>
            </w:r>
            <w:r w:rsidR="00B62722">
              <w:t xml:space="preserve"> Winter planning</w:t>
            </w:r>
            <w:r w:rsidR="00B70FC6">
              <w:t xml:space="preserve"> </w:t>
            </w:r>
            <w:r w:rsidR="00B62722">
              <w:t>d</w:t>
            </w:r>
            <w:r w:rsidR="00B70FC6">
              <w:t>iscussions for workshop and RM.</w:t>
            </w:r>
          </w:p>
        </w:tc>
        <w:tc>
          <w:tcPr>
            <w:tcW w:w="1380" w:type="dxa"/>
          </w:tcPr>
          <w:p w14:paraId="0A1DBEED" w14:textId="77777777" w:rsidR="00F31FBB" w:rsidRDefault="00F31FBB"/>
        </w:tc>
      </w:tr>
      <w:tr w:rsidR="00B70FC6" w14:paraId="6268B2FB" w14:textId="77777777" w:rsidTr="000D7F71">
        <w:tc>
          <w:tcPr>
            <w:tcW w:w="1789" w:type="dxa"/>
          </w:tcPr>
          <w:p w14:paraId="31FA51BE" w14:textId="07EF7563" w:rsidR="00B70FC6" w:rsidRDefault="00B70FC6">
            <w:pPr>
              <w:rPr>
                <w:b/>
                <w:bCs/>
                <w:u w:val="single"/>
              </w:rPr>
            </w:pPr>
            <w:r>
              <w:rPr>
                <w:b/>
                <w:bCs/>
                <w:u w:val="single"/>
              </w:rPr>
              <w:t>DMS</w:t>
            </w:r>
          </w:p>
        </w:tc>
        <w:tc>
          <w:tcPr>
            <w:tcW w:w="5847" w:type="dxa"/>
          </w:tcPr>
          <w:p w14:paraId="3C91F27F" w14:textId="4F3F4633" w:rsidR="00B70FC6" w:rsidRDefault="00B70FC6">
            <w:r>
              <w:t>Helen Turner</w:t>
            </w:r>
            <w:r w:rsidR="008C35F9">
              <w:t xml:space="preserve"> (GHT)</w:t>
            </w:r>
            <w:r>
              <w:t xml:space="preserve"> visited NJ to look at </w:t>
            </w:r>
            <w:proofErr w:type="spellStart"/>
            <w:r>
              <w:t>PharmOutcomes</w:t>
            </w:r>
            <w:proofErr w:type="spellEnd"/>
            <w:r>
              <w:t xml:space="preserve"> from Pharmacy perspective. Aim to have all MDS</w:t>
            </w:r>
            <w:r w:rsidR="008C35F9">
              <w:t xml:space="preserve"> discharge</w:t>
            </w:r>
            <w:r>
              <w:t xml:space="preserve"> patients on DMS. Helen to discuss with Pinnacle regarding link from PO to MYS.</w:t>
            </w:r>
          </w:p>
          <w:p w14:paraId="6B1EBF8F" w14:textId="6C76CF98" w:rsidR="00B70FC6" w:rsidRDefault="008C35F9">
            <w:r>
              <w:t xml:space="preserve">NJ to </w:t>
            </w:r>
            <w:r w:rsidR="00B70FC6">
              <w:t>Invite Helen to next LPC Meeting.</w:t>
            </w:r>
          </w:p>
        </w:tc>
        <w:tc>
          <w:tcPr>
            <w:tcW w:w="1380" w:type="dxa"/>
          </w:tcPr>
          <w:p w14:paraId="7BC1FA7D" w14:textId="77777777" w:rsidR="00B70FC6" w:rsidRDefault="00B70FC6"/>
          <w:p w14:paraId="0FE56D76" w14:textId="77777777" w:rsidR="00B70FC6" w:rsidRDefault="00B70FC6"/>
          <w:p w14:paraId="2834062B" w14:textId="77777777" w:rsidR="00B70FC6" w:rsidRDefault="00B70FC6"/>
          <w:p w14:paraId="15A7D37A" w14:textId="3D73249D" w:rsidR="00B70FC6" w:rsidRPr="00B70FC6" w:rsidRDefault="00B70FC6">
            <w:pPr>
              <w:rPr>
                <w:b/>
                <w:bCs/>
              </w:rPr>
            </w:pPr>
            <w:r w:rsidRPr="00B70FC6">
              <w:rPr>
                <w:b/>
                <w:bCs/>
              </w:rPr>
              <w:t>NJ</w:t>
            </w:r>
          </w:p>
        </w:tc>
      </w:tr>
      <w:tr w:rsidR="00B70FC6" w14:paraId="5F34C9BC" w14:textId="77777777" w:rsidTr="000D7F71">
        <w:tc>
          <w:tcPr>
            <w:tcW w:w="1789" w:type="dxa"/>
          </w:tcPr>
          <w:p w14:paraId="3EFD8DC9" w14:textId="3518C30B" w:rsidR="00B70FC6" w:rsidRDefault="00B70FC6">
            <w:pPr>
              <w:rPr>
                <w:b/>
                <w:bCs/>
                <w:u w:val="single"/>
              </w:rPr>
            </w:pPr>
            <w:r>
              <w:rPr>
                <w:b/>
                <w:bCs/>
                <w:u w:val="single"/>
              </w:rPr>
              <w:t>Pfizer</w:t>
            </w:r>
          </w:p>
        </w:tc>
        <w:tc>
          <w:tcPr>
            <w:tcW w:w="5847" w:type="dxa"/>
          </w:tcPr>
          <w:p w14:paraId="20351B28" w14:textId="12D535A8" w:rsidR="00B70FC6" w:rsidRDefault="00B70FC6">
            <w:r>
              <w:t xml:space="preserve">Dave </w:t>
            </w:r>
            <w:r w:rsidR="008C35F9">
              <w:t>Arnett’s</w:t>
            </w:r>
            <w:r>
              <w:t xml:space="preserve"> from Pfizer did a brief presentation on the Pfizer non branded training portal</w:t>
            </w:r>
            <w:r w:rsidR="004D454C">
              <w:t xml:space="preserve"> outlining the education and resources freely available to Pharmacies</w:t>
            </w:r>
            <w:r>
              <w:t xml:space="preserve">. </w:t>
            </w:r>
            <w:r w:rsidR="004D454C">
              <w:t xml:space="preserve">Discussed future sponsorship from Pfizer for possible workshop/integration facilitation. SB to provide list of meeting attendees. </w:t>
            </w:r>
          </w:p>
        </w:tc>
        <w:tc>
          <w:tcPr>
            <w:tcW w:w="1380" w:type="dxa"/>
          </w:tcPr>
          <w:p w14:paraId="2F55026D" w14:textId="77777777" w:rsidR="00B70FC6" w:rsidRDefault="00B70FC6"/>
          <w:p w14:paraId="33774489" w14:textId="77777777" w:rsidR="004D454C" w:rsidRDefault="004D454C"/>
          <w:p w14:paraId="186C826C" w14:textId="77777777" w:rsidR="004D454C" w:rsidRDefault="004D454C"/>
          <w:p w14:paraId="305F9DC8" w14:textId="05E28958" w:rsidR="004D454C" w:rsidRPr="004D454C" w:rsidRDefault="004D454C">
            <w:pPr>
              <w:rPr>
                <w:b/>
                <w:bCs/>
              </w:rPr>
            </w:pPr>
            <w:r w:rsidRPr="004D454C">
              <w:rPr>
                <w:b/>
                <w:bCs/>
              </w:rPr>
              <w:t>SB</w:t>
            </w:r>
          </w:p>
        </w:tc>
      </w:tr>
      <w:tr w:rsidR="00511CA0" w14:paraId="1452A772" w14:textId="52AE268B" w:rsidTr="000D7F71">
        <w:tc>
          <w:tcPr>
            <w:tcW w:w="1789" w:type="dxa"/>
          </w:tcPr>
          <w:p w14:paraId="497BA149" w14:textId="4D42F742" w:rsidR="00511CA0" w:rsidRDefault="00511CA0">
            <w:pPr>
              <w:rPr>
                <w:b/>
                <w:bCs/>
                <w:u w:val="single"/>
              </w:rPr>
            </w:pPr>
            <w:r>
              <w:rPr>
                <w:b/>
                <w:bCs/>
                <w:u w:val="single"/>
              </w:rPr>
              <w:t>AOB</w:t>
            </w:r>
          </w:p>
        </w:tc>
        <w:tc>
          <w:tcPr>
            <w:tcW w:w="5847" w:type="dxa"/>
          </w:tcPr>
          <w:p w14:paraId="3C7F3690" w14:textId="77777777" w:rsidR="00511CA0" w:rsidRDefault="004D454C" w:rsidP="00A3608B">
            <w:r>
              <w:t>VA (on behalf of CCA) asked for latest accounts to be uploaded on LPC website.</w:t>
            </w:r>
          </w:p>
          <w:p w14:paraId="26E7591E" w14:textId="560772C7" w:rsidR="004D454C" w:rsidRDefault="00B62722" w:rsidP="00A3608B">
            <w:r>
              <w:t>Next meeting AGM</w:t>
            </w:r>
            <w:r w:rsidR="008C35F9">
              <w:t xml:space="preserve"> </w:t>
            </w:r>
          </w:p>
        </w:tc>
        <w:tc>
          <w:tcPr>
            <w:tcW w:w="1380" w:type="dxa"/>
          </w:tcPr>
          <w:p w14:paraId="0D70536F" w14:textId="6B658117" w:rsidR="00511CA0" w:rsidRPr="004D454C" w:rsidRDefault="004D454C" w:rsidP="00A3608B">
            <w:pPr>
              <w:rPr>
                <w:b/>
                <w:bCs/>
              </w:rPr>
            </w:pPr>
            <w:r w:rsidRPr="004D454C">
              <w:rPr>
                <w:b/>
                <w:bCs/>
              </w:rPr>
              <w:t>WP/SB</w:t>
            </w:r>
          </w:p>
          <w:p w14:paraId="7E09760A" w14:textId="66FA9515" w:rsidR="001E41F6" w:rsidRPr="001E41F6" w:rsidRDefault="001E41F6" w:rsidP="00A3608B">
            <w:pPr>
              <w:rPr>
                <w:b/>
                <w:bCs/>
              </w:rPr>
            </w:pPr>
          </w:p>
        </w:tc>
      </w:tr>
      <w:tr w:rsidR="00511CA0" w14:paraId="12149326" w14:textId="4C024BC7" w:rsidTr="000D7F71">
        <w:tc>
          <w:tcPr>
            <w:tcW w:w="1789" w:type="dxa"/>
          </w:tcPr>
          <w:p w14:paraId="1EFCFFC3" w14:textId="681EC4FD" w:rsidR="00511CA0" w:rsidRPr="004841C4" w:rsidRDefault="00511CA0">
            <w:pPr>
              <w:rPr>
                <w:b/>
                <w:bCs/>
                <w:u w:val="single"/>
              </w:rPr>
            </w:pPr>
            <w:r w:rsidRPr="004841C4">
              <w:rPr>
                <w:b/>
                <w:bCs/>
                <w:u w:val="single"/>
              </w:rPr>
              <w:t>Meeting Dates</w:t>
            </w:r>
          </w:p>
        </w:tc>
        <w:tc>
          <w:tcPr>
            <w:tcW w:w="5847" w:type="dxa"/>
          </w:tcPr>
          <w:p w14:paraId="6AEC9B74" w14:textId="1EC07405" w:rsidR="00511CA0" w:rsidRDefault="00511CA0">
            <w:r>
              <w:t xml:space="preserve">Next meeting: </w:t>
            </w:r>
            <w:r w:rsidR="00B62722">
              <w:t>Sept 8</w:t>
            </w:r>
            <w:r w:rsidR="00B62722" w:rsidRPr="00B62722">
              <w:rPr>
                <w:vertAlign w:val="superscript"/>
              </w:rPr>
              <w:t>th</w:t>
            </w:r>
            <w:proofErr w:type="gramStart"/>
            <w:r w:rsidR="00B62722">
              <w:t xml:space="preserve"> 2022</w:t>
            </w:r>
            <w:proofErr w:type="gramEnd"/>
            <w:r>
              <w:t xml:space="preserve"> – Kingsholm Stadium, Gloucester.</w:t>
            </w:r>
          </w:p>
        </w:tc>
        <w:tc>
          <w:tcPr>
            <w:tcW w:w="1380" w:type="dxa"/>
          </w:tcPr>
          <w:p w14:paraId="0F21EBBC" w14:textId="77777777" w:rsidR="00511CA0" w:rsidRDefault="00511CA0"/>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945691">
    <w:abstractNumId w:val="3"/>
  </w:num>
  <w:num w:numId="2" w16cid:durableId="1096250287">
    <w:abstractNumId w:val="6"/>
  </w:num>
  <w:num w:numId="3" w16cid:durableId="71700864">
    <w:abstractNumId w:val="7"/>
  </w:num>
  <w:num w:numId="4" w16cid:durableId="1548296888">
    <w:abstractNumId w:val="5"/>
  </w:num>
  <w:num w:numId="5" w16cid:durableId="466289342">
    <w:abstractNumId w:val="4"/>
  </w:num>
  <w:num w:numId="6" w16cid:durableId="1393968416">
    <w:abstractNumId w:val="1"/>
  </w:num>
  <w:num w:numId="7" w16cid:durableId="2015451158">
    <w:abstractNumId w:val="0"/>
  </w:num>
  <w:num w:numId="8" w16cid:durableId="1999117139">
    <w:abstractNumId w:val="8"/>
  </w:num>
  <w:num w:numId="9" w16cid:durableId="465127554">
    <w:abstractNumId w:val="2"/>
  </w:num>
  <w:num w:numId="10" w16cid:durableId="1953901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3054"/>
    <w:rsid w:val="00046C09"/>
    <w:rsid w:val="0006267A"/>
    <w:rsid w:val="0006413C"/>
    <w:rsid w:val="00064FE4"/>
    <w:rsid w:val="000842E2"/>
    <w:rsid w:val="000940DC"/>
    <w:rsid w:val="000A7B3D"/>
    <w:rsid w:val="000B200F"/>
    <w:rsid w:val="000B5CFE"/>
    <w:rsid w:val="000D462A"/>
    <w:rsid w:val="000D5981"/>
    <w:rsid w:val="000D7F71"/>
    <w:rsid w:val="001110D0"/>
    <w:rsid w:val="001337C4"/>
    <w:rsid w:val="00152CF5"/>
    <w:rsid w:val="00166B81"/>
    <w:rsid w:val="0016726F"/>
    <w:rsid w:val="00177BF9"/>
    <w:rsid w:val="00192D6D"/>
    <w:rsid w:val="001A1E7B"/>
    <w:rsid w:val="001A2A2B"/>
    <w:rsid w:val="001A37AC"/>
    <w:rsid w:val="001B143D"/>
    <w:rsid w:val="001C412C"/>
    <w:rsid w:val="001D0954"/>
    <w:rsid w:val="001D1266"/>
    <w:rsid w:val="001E41F6"/>
    <w:rsid w:val="001F1220"/>
    <w:rsid w:val="002230A9"/>
    <w:rsid w:val="00225D79"/>
    <w:rsid w:val="0025512C"/>
    <w:rsid w:val="00270920"/>
    <w:rsid w:val="00274A24"/>
    <w:rsid w:val="00277182"/>
    <w:rsid w:val="002776A0"/>
    <w:rsid w:val="002A3734"/>
    <w:rsid w:val="002B629D"/>
    <w:rsid w:val="002C2D8A"/>
    <w:rsid w:val="002D5FA5"/>
    <w:rsid w:val="002F0620"/>
    <w:rsid w:val="002F4421"/>
    <w:rsid w:val="002F77DC"/>
    <w:rsid w:val="002F7F09"/>
    <w:rsid w:val="00301797"/>
    <w:rsid w:val="00303BD6"/>
    <w:rsid w:val="00311763"/>
    <w:rsid w:val="0031746B"/>
    <w:rsid w:val="00317CB9"/>
    <w:rsid w:val="003220DB"/>
    <w:rsid w:val="00326A90"/>
    <w:rsid w:val="00327A68"/>
    <w:rsid w:val="00335484"/>
    <w:rsid w:val="00342C6E"/>
    <w:rsid w:val="0034785E"/>
    <w:rsid w:val="0036233D"/>
    <w:rsid w:val="00367CA8"/>
    <w:rsid w:val="00370E22"/>
    <w:rsid w:val="003724F7"/>
    <w:rsid w:val="0037621A"/>
    <w:rsid w:val="00380668"/>
    <w:rsid w:val="00393EDC"/>
    <w:rsid w:val="003B64C9"/>
    <w:rsid w:val="003C5DFF"/>
    <w:rsid w:val="003D4800"/>
    <w:rsid w:val="003E3A36"/>
    <w:rsid w:val="003E780C"/>
    <w:rsid w:val="003F3EF2"/>
    <w:rsid w:val="003F4ABE"/>
    <w:rsid w:val="003F7BA4"/>
    <w:rsid w:val="00425970"/>
    <w:rsid w:val="00431481"/>
    <w:rsid w:val="0046414B"/>
    <w:rsid w:val="00474B5A"/>
    <w:rsid w:val="004841C4"/>
    <w:rsid w:val="00485ECF"/>
    <w:rsid w:val="004A770D"/>
    <w:rsid w:val="004D454C"/>
    <w:rsid w:val="004F2762"/>
    <w:rsid w:val="004F2BAE"/>
    <w:rsid w:val="00511CA0"/>
    <w:rsid w:val="00515D01"/>
    <w:rsid w:val="0052696F"/>
    <w:rsid w:val="005304C1"/>
    <w:rsid w:val="005330BB"/>
    <w:rsid w:val="00547BDF"/>
    <w:rsid w:val="005609F1"/>
    <w:rsid w:val="00577DC9"/>
    <w:rsid w:val="005A7908"/>
    <w:rsid w:val="005C7482"/>
    <w:rsid w:val="005E0425"/>
    <w:rsid w:val="006015A9"/>
    <w:rsid w:val="0060279E"/>
    <w:rsid w:val="00604CEB"/>
    <w:rsid w:val="00605F63"/>
    <w:rsid w:val="006354FC"/>
    <w:rsid w:val="006402A2"/>
    <w:rsid w:val="0064075E"/>
    <w:rsid w:val="00652815"/>
    <w:rsid w:val="00665714"/>
    <w:rsid w:val="00666E43"/>
    <w:rsid w:val="00684693"/>
    <w:rsid w:val="00693E40"/>
    <w:rsid w:val="006A1CD7"/>
    <w:rsid w:val="006A4680"/>
    <w:rsid w:val="006B26E6"/>
    <w:rsid w:val="006B4F10"/>
    <w:rsid w:val="006D0624"/>
    <w:rsid w:val="006E3B34"/>
    <w:rsid w:val="006E5929"/>
    <w:rsid w:val="00700047"/>
    <w:rsid w:val="00720409"/>
    <w:rsid w:val="00742622"/>
    <w:rsid w:val="0075132F"/>
    <w:rsid w:val="007700D2"/>
    <w:rsid w:val="0077317D"/>
    <w:rsid w:val="007921BD"/>
    <w:rsid w:val="007A71EF"/>
    <w:rsid w:val="007C7818"/>
    <w:rsid w:val="007E45D0"/>
    <w:rsid w:val="00805B99"/>
    <w:rsid w:val="00814F50"/>
    <w:rsid w:val="00817449"/>
    <w:rsid w:val="00820BE4"/>
    <w:rsid w:val="00821BC0"/>
    <w:rsid w:val="008237E8"/>
    <w:rsid w:val="00852A59"/>
    <w:rsid w:val="0085642F"/>
    <w:rsid w:val="00856FDF"/>
    <w:rsid w:val="0087436E"/>
    <w:rsid w:val="008866E3"/>
    <w:rsid w:val="008A4989"/>
    <w:rsid w:val="008B1CC6"/>
    <w:rsid w:val="008C35F9"/>
    <w:rsid w:val="008C5EF7"/>
    <w:rsid w:val="008C66A8"/>
    <w:rsid w:val="008F72F3"/>
    <w:rsid w:val="00900F5C"/>
    <w:rsid w:val="00903E30"/>
    <w:rsid w:val="009173AC"/>
    <w:rsid w:val="00924624"/>
    <w:rsid w:val="009309EE"/>
    <w:rsid w:val="00955ED2"/>
    <w:rsid w:val="009618FD"/>
    <w:rsid w:val="00974A6B"/>
    <w:rsid w:val="0099253F"/>
    <w:rsid w:val="009B2F7A"/>
    <w:rsid w:val="009B34A7"/>
    <w:rsid w:val="00A1020A"/>
    <w:rsid w:val="00A14D93"/>
    <w:rsid w:val="00A32686"/>
    <w:rsid w:val="00A3608B"/>
    <w:rsid w:val="00A40ECC"/>
    <w:rsid w:val="00A47987"/>
    <w:rsid w:val="00A72793"/>
    <w:rsid w:val="00A910B1"/>
    <w:rsid w:val="00A92C40"/>
    <w:rsid w:val="00AA1D37"/>
    <w:rsid w:val="00AB1259"/>
    <w:rsid w:val="00AC1A30"/>
    <w:rsid w:val="00AC671F"/>
    <w:rsid w:val="00AD2AD4"/>
    <w:rsid w:val="00AE6E28"/>
    <w:rsid w:val="00B0270F"/>
    <w:rsid w:val="00B11B8F"/>
    <w:rsid w:val="00B30650"/>
    <w:rsid w:val="00B316A6"/>
    <w:rsid w:val="00B62722"/>
    <w:rsid w:val="00B70FC6"/>
    <w:rsid w:val="00B86C7A"/>
    <w:rsid w:val="00B93CA1"/>
    <w:rsid w:val="00B95BDF"/>
    <w:rsid w:val="00BA1DD3"/>
    <w:rsid w:val="00BC0855"/>
    <w:rsid w:val="00BC49E6"/>
    <w:rsid w:val="00BC7B69"/>
    <w:rsid w:val="00BD1483"/>
    <w:rsid w:val="00BE0C6B"/>
    <w:rsid w:val="00BF1CB3"/>
    <w:rsid w:val="00BF3898"/>
    <w:rsid w:val="00C63BFE"/>
    <w:rsid w:val="00C65739"/>
    <w:rsid w:val="00C97699"/>
    <w:rsid w:val="00CB0C0A"/>
    <w:rsid w:val="00CC0EBA"/>
    <w:rsid w:val="00CD5C9F"/>
    <w:rsid w:val="00CD648D"/>
    <w:rsid w:val="00CE2229"/>
    <w:rsid w:val="00CF0396"/>
    <w:rsid w:val="00D064F7"/>
    <w:rsid w:val="00D50CA0"/>
    <w:rsid w:val="00D72E8A"/>
    <w:rsid w:val="00D74745"/>
    <w:rsid w:val="00D81101"/>
    <w:rsid w:val="00D816DB"/>
    <w:rsid w:val="00D8234B"/>
    <w:rsid w:val="00D83C85"/>
    <w:rsid w:val="00DA1E24"/>
    <w:rsid w:val="00DA22A5"/>
    <w:rsid w:val="00DB567F"/>
    <w:rsid w:val="00DC7E60"/>
    <w:rsid w:val="00DE06CC"/>
    <w:rsid w:val="00DF0248"/>
    <w:rsid w:val="00DF0A11"/>
    <w:rsid w:val="00E0502A"/>
    <w:rsid w:val="00E14D2D"/>
    <w:rsid w:val="00E211D6"/>
    <w:rsid w:val="00E307A3"/>
    <w:rsid w:val="00E34C89"/>
    <w:rsid w:val="00E36DA6"/>
    <w:rsid w:val="00E50FCE"/>
    <w:rsid w:val="00E52226"/>
    <w:rsid w:val="00E66FDB"/>
    <w:rsid w:val="00E80FB0"/>
    <w:rsid w:val="00EA094C"/>
    <w:rsid w:val="00EB03E2"/>
    <w:rsid w:val="00EC6862"/>
    <w:rsid w:val="00ED09AE"/>
    <w:rsid w:val="00EE6D7E"/>
    <w:rsid w:val="00EF4362"/>
    <w:rsid w:val="00F00C06"/>
    <w:rsid w:val="00F0370B"/>
    <w:rsid w:val="00F1660F"/>
    <w:rsid w:val="00F23475"/>
    <w:rsid w:val="00F25ACC"/>
    <w:rsid w:val="00F31FBB"/>
    <w:rsid w:val="00F37193"/>
    <w:rsid w:val="00F53DD6"/>
    <w:rsid w:val="00F5492D"/>
    <w:rsid w:val="00F8313A"/>
    <w:rsid w:val="00F96082"/>
    <w:rsid w:val="00FA281D"/>
    <w:rsid w:val="00FB6337"/>
    <w:rsid w:val="00FC6670"/>
    <w:rsid w:val="00FE3F95"/>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4</cp:revision>
  <dcterms:created xsi:type="dcterms:W3CDTF">2022-07-18T12:13:00Z</dcterms:created>
  <dcterms:modified xsi:type="dcterms:W3CDTF">2022-07-18T16:44:00Z</dcterms:modified>
</cp:coreProperties>
</file>