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901" w:rsidRPr="006077ED" w:rsidRDefault="00FF47F7">
      <w:pPr>
        <w:pStyle w:val="BodyA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bookmarkStart w:id="0" w:name="_GoBack"/>
      <w:bookmarkEnd w:id="0"/>
      <w:r w:rsidRPr="006077ED">
        <w:rPr>
          <w:rFonts w:ascii="Helvetica" w:hAnsi="Helvetica"/>
          <w:b/>
          <w:bCs/>
          <w:sz w:val="28"/>
          <w:szCs w:val="28"/>
          <w:u w:val="single"/>
        </w:rPr>
        <w:t xml:space="preserve">‘Just in Case’  </w:t>
      </w:r>
    </w:p>
    <w:p w:rsidR="00DB7901" w:rsidRPr="006077ED" w:rsidRDefault="00FF47F7">
      <w:pPr>
        <w:pStyle w:val="BodyA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6077ED">
        <w:rPr>
          <w:rFonts w:ascii="Helvetica" w:hAnsi="Helvetica"/>
          <w:b/>
          <w:bCs/>
          <w:sz w:val="28"/>
          <w:szCs w:val="28"/>
          <w:u w:val="single"/>
        </w:rPr>
        <w:t>Dispensing Guide</w:t>
      </w:r>
    </w:p>
    <w:p w:rsidR="00DB7901" w:rsidRPr="006077ED" w:rsidRDefault="00DB7901">
      <w:pPr>
        <w:pStyle w:val="BodyA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DB7901" w:rsidRPr="006077ED" w:rsidRDefault="00FF47F7">
      <w:pPr>
        <w:pStyle w:val="BodyA"/>
        <w:jc w:val="center"/>
        <w:rPr>
          <w:rFonts w:ascii="Helvetica" w:hAnsi="Helvetica"/>
          <w:b/>
          <w:bCs/>
          <w:color w:val="ED220B"/>
          <w:sz w:val="24"/>
          <w:szCs w:val="24"/>
          <w:u w:val="single" w:color="ED220B"/>
        </w:rPr>
      </w:pPr>
      <w:r w:rsidRPr="006077ED">
        <w:rPr>
          <w:rFonts w:ascii="Helvetica" w:hAnsi="Helvetica"/>
          <w:b/>
          <w:bCs/>
          <w:sz w:val="28"/>
          <w:szCs w:val="28"/>
        </w:rPr>
        <w:t xml:space="preserve">To request more supplies or for any other questions contact: </w:t>
      </w:r>
      <w:r w:rsidR="006077ED" w:rsidRPr="006077ED">
        <w:rPr>
          <w:rFonts w:ascii="Helvetica" w:hAnsi="Helvetica"/>
          <w:b/>
          <w:bCs/>
          <w:noProof/>
          <w:color w:val="ED220B"/>
          <w:sz w:val="24"/>
          <w:szCs w:val="24"/>
          <w:u w:val="single" w:color="ED220B"/>
          <w:lang w:val="en-GB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AA282B7" wp14:editId="677D58FB">
                <wp:simplePos x="0" y="0"/>
                <wp:positionH relativeFrom="margin">
                  <wp:posOffset>3810</wp:posOffset>
                </wp:positionH>
                <wp:positionV relativeFrom="line">
                  <wp:posOffset>347980</wp:posOffset>
                </wp:positionV>
                <wp:extent cx="6109970" cy="7483475"/>
                <wp:effectExtent l="0" t="0" r="24130" b="6032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7483475"/>
                          <a:chOff x="0" y="0"/>
                          <a:chExt cx="6110601" cy="7483607"/>
                        </a:xfrm>
                      </wpg:grpSpPr>
                      <wps:wsp>
                        <wps:cNvPr id="1073741825" name="officeArt object"/>
                        <wps:cNvCnPr/>
                        <wps:spPr>
                          <a:xfrm>
                            <a:off x="3011612" y="2004648"/>
                            <a:ext cx="1" cy="20349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28" name="officeArt object"/>
                        <wps:cNvCnPr/>
                        <wps:spPr>
                          <a:xfrm flipH="1">
                            <a:off x="3009073" y="2857499"/>
                            <a:ext cx="1744" cy="16995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1744" y="0"/>
                            <a:ext cx="6107112" cy="19982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7901" w:rsidRPr="006077ED" w:rsidRDefault="00FF47F7">
                              <w:pPr>
                                <w:pStyle w:val="BodyA"/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FP10 issued for anticipatory medications with the words 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“for JICB” in the description of each item to be included in the ‘Just in Case’ box/bag.</w:t>
                              </w:r>
                            </w:p>
                            <w:p w:rsidR="00DB7901" w:rsidRPr="006077ED" w:rsidRDefault="00FF47F7">
                              <w:pPr>
                                <w:pStyle w:val="BodyA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The following are suggested medications however there will be patients who will require alternative medications/quantities/strengths. </w:t>
                              </w:r>
                            </w:p>
                            <w:p w:rsidR="00DB7901" w:rsidRPr="006077ED" w:rsidRDefault="00DB7901">
                              <w:pPr>
                                <w:pStyle w:val="LabelA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  <w:u w:val="single" w:color="000000"/>
                                </w:rPr>
                              </w:pPr>
                            </w:p>
                            <w:p w:rsidR="00DB7901" w:rsidRPr="006077ED" w:rsidRDefault="00FF47F7">
                              <w:pPr>
                                <w:pStyle w:val="LabelA"/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  <w:t xml:space="preserve">Morphine sulfate 10mg/1ml solution for injection x 5 ampoules </w:t>
                              </w:r>
                            </w:p>
                            <w:p w:rsidR="00DB7901" w:rsidRPr="006077ED" w:rsidRDefault="00FF47F7">
                              <w:pPr>
                                <w:pStyle w:val="LabelA"/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  <w:t>Midazolam 10mg/2ml x 5 ampoules</w:t>
                              </w:r>
                            </w:p>
                            <w:p w:rsidR="00DB7901" w:rsidRPr="006077ED" w:rsidRDefault="00FF47F7">
                              <w:pPr>
                                <w:pStyle w:val="LabelA"/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  <w:t>Levomepromazine 25mg/1ml x 5 ampoules</w:t>
                              </w:r>
                            </w:p>
                            <w:p w:rsidR="00DB7901" w:rsidRPr="006077ED" w:rsidRDefault="00FF47F7">
                              <w:pPr>
                                <w:pStyle w:val="LabelA"/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color w:val="000000"/>
                                  <w:u w:color="000000"/>
                                </w:rPr>
                                <w:t>Glycopyronium bromide 200mcg/1ml x 5 ampoules</w:t>
                              </w:r>
                            </w:p>
                            <w:p w:rsidR="00DB7901" w:rsidRPr="006077ED" w:rsidRDefault="00FF47F7">
                              <w:pPr>
                                <w:pStyle w:val="BodyA"/>
                                <w:jc w:val="center"/>
                                <w:rPr>
                                  <w:rFonts w:ascii="Helvetica" w:hAnsi="Helvetica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Water for injection 10ml x 5 ampoules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29" name="officeArt object"/>
                        <wps:cNvCnPr/>
                        <wps:spPr>
                          <a:xfrm>
                            <a:off x="3055300" y="5613493"/>
                            <a:ext cx="1" cy="20349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3490" y="3027450"/>
                            <a:ext cx="6103621" cy="25860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7901" w:rsidRPr="006077ED" w:rsidRDefault="00FF47F7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40" w:line="300" w:lineRule="atLeast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If the patient resides in a 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care or residential home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items should be dispensed in a ‘Just in Case’ 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BAG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. For patients in their own home medication should be dispensed in a ‘Just in Case’ 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BOX.</w:t>
                              </w:r>
                            </w:p>
                            <w:p w:rsidR="00DB7901" w:rsidRPr="006077ED" w:rsidRDefault="00FF47F7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40" w:line="300" w:lineRule="atLeast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Where possible medications with at least 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6 months expiry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should be used. Pharmacy adds 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‘Just in Case box contents’ paperwork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to the box/bag.</w:t>
                              </w:r>
                            </w:p>
                            <w:p w:rsidR="00DB7901" w:rsidRPr="006077ED" w:rsidRDefault="00FF47F7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spacing w:after="240" w:line="300" w:lineRule="atLeast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Medication l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abel</w:t>
                              </w:r>
                              <w:r w:rsidRPr="006077ED"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showing items dispensed are used to seal bags and act as a record of contents. ‘Just in Case’ boxes have a </w:t>
                              </w:r>
                              <w:r w:rsidR="006077ED"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self-adhesive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seal but dispensing labels must still be placed on the outside of the box to record contents. </w:t>
                              </w:r>
                            </w:p>
                            <w:p w:rsidR="00DB7901" w:rsidRPr="006077ED" w:rsidRDefault="00FF47F7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spacing w:after="240" w:line="300" w:lineRule="atLeast"/>
                                <w:rPr>
                                  <w:rFonts w:ascii="Helvetica" w:hAnsi="Helvetica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  <w:lang w:val="fr-FR"/>
                                </w:rPr>
                                <w:t>Patient</w:t>
                              </w: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’s address label is added to the top of the box/bag. Earliest expiry date of medications and date of dispensing also completed on outside of box/bag.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3490" y="2214450"/>
                            <a:ext cx="6107111" cy="6430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7901" w:rsidRPr="006077ED" w:rsidRDefault="00FF47F7">
                              <w:pPr>
                                <w:pStyle w:val="Default"/>
                                <w:spacing w:after="240" w:line="300" w:lineRule="atLeast"/>
                                <w:rPr>
                                  <w:rFonts w:ascii="Helvetica" w:hAnsi="Helvetica"/>
                                </w:rPr>
                              </w:pPr>
                              <w:r w:rsidRP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Patient takes FP10 to chosen pharmacy, or FP10 collected by patient’s chosen pharmacy. 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31" name="officeArt object"/>
                        <wps:cNvCnPr/>
                        <wps:spPr>
                          <a:xfrm>
                            <a:off x="3055300" y="6822793"/>
                            <a:ext cx="1" cy="660814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0" y="5823334"/>
                            <a:ext cx="6107111" cy="9931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7901" w:rsidRDefault="00FF47F7">
                              <w:pPr>
                                <w:pStyle w:val="Default"/>
                                <w:spacing w:after="240" w:line="30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After discussion with patient/carer the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‘Your Just in Case box’ leaflet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can be slotted</w:t>
                              </w:r>
                              <w:r w:rsid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so it is sticking out of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 xml:space="preserve"> box, this keeps it safe and available for further reference. ‘Just in Case’ Box and lea</w:t>
                              </w:r>
                              <w:r w:rsidR="006077ED"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flet either handed to patient /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carer or delivered by pharmacy. ‘Just in Case’ bags do not require a leaflet.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.3pt;margin-top:27.4pt;width:481.1pt;height:589.25pt;z-index:251660288;mso-wrap-distance-left:12pt;mso-wrap-distance-top:12pt;mso-wrap-distance-right:12pt;mso-wrap-distance-bottom:12pt;mso-position-horizontal-relative:margin;mso-position-vertical-relative:line" coordsize="61106,7483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">
                <v:line id="_x0000_s1027" style="position:absolute;visibility:visible;mso-wrap-style:square" from="30116,20046" to="30116,2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FPsgAAADjAAAADwAAAGRycy9kb3ducmV2LnhtbERPS08CMRC+m/AfmiHxJl0QBFYKUROC&#10;xhjDw/tkO2yL2+mmrbD+e2ti4nG+9yxWnWvEmUK0nhUMBwUI4spry7WCw359MwMRE7LGxjMp+KYI&#10;q2XvaoGl9hfe0nmXapFDOJaowKTUllLGypDDOPAtceaOPjhM+Qy11AEvOdw1clQUd9Kh5dxgsKUn&#10;Q9Xn7ssp2FbzzaPV2ryewstp8vF2tOPDu1LX/e7hHkSiLv2L/9zPOs8vprfT8XA2msDvTxkA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XFPsgAAADjAAAADwAAAAAA&#10;AAAAAAAAAAChAgAAZHJzL2Rvd25yZXYueG1sUEsFBgAAAAAEAAQA+QAAAJYDAAAAAA==&#10;" strokeweight="2pt">
                  <v:stroke endarrow="block" miterlimit="4" joinstyle="miter"/>
                </v:line>
                <v:line id="_x0000_s1028" style="position:absolute;flip:x;visibility:visible;mso-wrap-style:square" from="30090,28574" to="30108,30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5QJnmMsAAADjAAAADwAA&#10;AAAAAAAAAAAAAAChAgAAZHJzL2Rvd25yZXYueG1sUEsFBgAAAAAEAAQA+QAAAJkDAAAAAA==&#10;" strokeweight="2pt">
                  <v:stroke endarrow="block" miterlimit="4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9" type="#_x0000_t202" style="position:absolute;left:17;width:61071;height:19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XFMcA&#10;AADjAAAADwAAAGRycy9kb3ducmV2LnhtbERPX0vDMBB/F/wO4QRfxKab0o3abEhB5l4Eq+Dr0ZxN&#10;sbnUJHbdPv0iCD7e7/9V29kOYiIfescKFlkOgrh1uudOwfvb0+0aRIjIGgfHpOBIAbaby4sKS+0O&#10;/EpTEzuRQjiUqMDEOJZShtaQxZC5kThxn85bjOn0ndQeDyncDnKZ54W02HNqMDhSbaj9an6sgsKd&#10;ajrW395qcvubD7Nr9i87pa6v5scHEJHm+C/+cz/rND9f3a3uF+tlAb8/JQDk5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M1xTHAAAA4wAAAA8AAAAAAAAAAAAAAAAAmAIAAGRy&#10;cy9kb3ducmV2LnhtbFBLBQYAAAAABAAEAPUAAACMAwAAAAA=&#10;" filled="f" strokeweight="1pt">
                  <v:stroke miterlimit="4"/>
                  <v:textbox inset="8pt,8pt,8pt,8pt">
                    <w:txbxContent>
                      <w:p w:rsidR="00DB7901" w:rsidRPr="006077ED" w:rsidRDefault="00FF47F7">
                        <w:pPr>
                          <w:pStyle w:val="BodyA"/>
                          <w:jc w:val="center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FP10 issued for anticipatory medications with the words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 xml:space="preserve">“for JICB”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in the description of each item to be included in the ‘Just in Case’ box/bag.</w:t>
                        </w:r>
                      </w:p>
                      <w:p w:rsidR="00DB7901" w:rsidRPr="006077ED" w:rsidRDefault="00FF47F7">
                        <w:pPr>
                          <w:pStyle w:val="BodyA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The following are suggested medications however there will be patients who will require alternative medications/quantities/strengths. </w:t>
                        </w:r>
                      </w:p>
                      <w:p w:rsidR="00DB7901" w:rsidRPr="006077ED" w:rsidRDefault="00DB7901">
                        <w:pPr>
                          <w:pStyle w:val="LabelA"/>
                          <w:rPr>
                            <w:rFonts w:ascii="Helvetica" w:hAnsi="Helvetica"/>
                            <w:color w:val="000000"/>
                            <w:sz w:val="20"/>
                            <w:szCs w:val="20"/>
                            <w:u w:val="single" w:color="000000"/>
                          </w:rPr>
                        </w:pPr>
                      </w:p>
                      <w:p w:rsidR="00DB7901" w:rsidRPr="006077ED" w:rsidRDefault="00FF47F7">
                        <w:pPr>
                          <w:pStyle w:val="LabelA"/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</w:pPr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>Morphine sulfate 10mg/1ml solution for inj</w:t>
                        </w:r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 xml:space="preserve">ection x 5 ampoules </w:t>
                        </w:r>
                      </w:p>
                      <w:p w:rsidR="00DB7901" w:rsidRPr="006077ED" w:rsidRDefault="00FF47F7">
                        <w:pPr>
                          <w:pStyle w:val="LabelA"/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</w:pPr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>Midazolam 10mg/2ml x 5 ampoules</w:t>
                        </w:r>
                      </w:p>
                      <w:p w:rsidR="00DB7901" w:rsidRPr="006077ED" w:rsidRDefault="00FF47F7">
                        <w:pPr>
                          <w:pStyle w:val="LabelA"/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</w:pPr>
                        <w:proofErr w:type="spellStart"/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>Levomepromazine</w:t>
                        </w:r>
                        <w:proofErr w:type="spellEnd"/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 xml:space="preserve"> 25mg/1ml x 5 ampoules</w:t>
                        </w:r>
                      </w:p>
                      <w:p w:rsidR="00DB7901" w:rsidRPr="006077ED" w:rsidRDefault="00FF47F7">
                        <w:pPr>
                          <w:pStyle w:val="LabelA"/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</w:pPr>
                        <w:proofErr w:type="spellStart"/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>Glycopyronium</w:t>
                        </w:r>
                        <w:proofErr w:type="spellEnd"/>
                        <w:r w:rsidRPr="006077ED">
                          <w:rPr>
                            <w:rFonts w:ascii="Helvetica" w:hAnsi="Helvetica"/>
                            <w:color w:val="000000"/>
                            <w:u w:color="000000"/>
                          </w:rPr>
                          <w:t xml:space="preserve"> bromide 200mcg/1ml x 5 ampoules</w:t>
                        </w:r>
                      </w:p>
                      <w:p w:rsidR="00DB7901" w:rsidRPr="006077ED" w:rsidRDefault="00FF47F7">
                        <w:pPr>
                          <w:pStyle w:val="BodyA"/>
                          <w:jc w:val="center"/>
                          <w:rPr>
                            <w:rFonts w:ascii="Helvetica" w:hAnsi="Helvetica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Water for injection 10ml x 5 ampoules</w:t>
                        </w:r>
                      </w:p>
                    </w:txbxContent>
                  </v:textbox>
                </v:shape>
                <v:line id="_x0000_s1030" style="position:absolute;visibility:visible;mso-wrap-style:square" from="30553,56134" to="30553,5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jPO8gAAADjAAAADwAAAGRycy9kb3ducmV2LnhtbERPS08CMRC+m/AfmjHxJl0QBVYKURMj&#10;xhjD6z7ZDtvCdrppK6z/3pKYeJzvPbNF5xpxohCtZwWDfgGCuPLacq1gu3m9nYCICVlj45kU/FCE&#10;xbx3NcNS+zOv6LROtcghHEtUYFJqSyljZchh7PuWOHN7HxymfIZa6oDnHO4aOSyKB+nQcm4w2NKL&#10;oeq4/nYKVtX07dlqbT4O4f1wv/vc29H2S6mb6+7pEUSiLv2L/9xLnecX47vxaDAZTuHyUwZ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MjPO8gAAADjAAAADwAAAAAA&#10;AAAAAAAAAAChAgAAZHJzL2Rvd25yZXYueG1sUEsFBgAAAAAEAAQA+QAAAJYDAAAAAA==&#10;" strokeweight="2pt">
                  <v:stroke endarrow="block" miterlimit="4" joinstyle="miter"/>
                </v:line>
                <v:shape id="Shape 1073741830" o:spid="_x0000_s1031" type="#_x0000_t202" style="position:absolute;left:34;top:30274;width:61037;height:25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8JssA&#10;AADjAAAADwAAAGRycy9kb3ducmV2LnhtbESPQUsDMRCF74L/IYzgRWy2VtqyNi2yILUXwVXoddhM&#10;N4ubyZrEduuvdw5CjzPz5r33rTaj79WRYuoCG5hOClDETbAdtwY+P17ul6BSRrbYByYDZ0qwWV9f&#10;rbC04cTvdKxzq8SEU4kGXM5DqXVqHHlMkzAQy+0QoscsY2y1jXgSc9/rh6KYa48dS4LDgSpHzVf9&#10;4w3Mw29F5+o7ekthd7d323r3tjXm9mZ8fgKVacwX8f/3q5X6xWK2eJwuZ0IhTLIAvf4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wsHwmywAAAOMAAAAPAAAAAAAAAAAAAAAAAJgC&#10;AABkcnMvZG93bnJldi54bWxQSwUGAAAAAAQABAD1AAAAkAMAAAAA&#10;" filled="f" strokeweight="1pt">
                  <v:stroke miterlimit="4"/>
                  <v:textbox inset="8pt,8pt,8pt,8pt">
                    <w:txbxContent>
                      <w:p w:rsidR="00DB7901" w:rsidRPr="006077ED" w:rsidRDefault="00FF47F7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40" w:line="300" w:lineRule="atLeast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If the patient resides in a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care or residential home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items should be dispensed in a 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‘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Just in Case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’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BAG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. For patients in their own home medication should be dispensed in a 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‘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Just in Case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’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BOX.</w:t>
                        </w:r>
                      </w:p>
                      <w:p w:rsidR="00DB7901" w:rsidRPr="006077ED" w:rsidRDefault="00FF47F7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40" w:line="300" w:lineRule="atLeast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Where possible medications with at least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 xml:space="preserve">6 months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expiry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should be used. Pharmacy adds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‘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Just in Case box contents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 xml:space="preserve">’ 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paperwork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to the box/bag.</w:t>
                        </w:r>
                      </w:p>
                      <w:p w:rsidR="00DB7901" w:rsidRPr="006077ED" w:rsidRDefault="00FF47F7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after="240" w:line="300" w:lineRule="atLeast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Medication l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abel</w:t>
                        </w:r>
                        <w:r w:rsidRPr="006077ED"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 xml:space="preserve">s 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showing items dispensed are used to seal bags and act as a record of contents. 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‘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Just in Case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’ 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boxes have a </w:t>
                        </w:r>
                        <w:r w:rsidR="006077ED"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self-adhesive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seal but dispensing labels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must still be placed on the outside of the box to record contents. </w:t>
                        </w:r>
                      </w:p>
                      <w:p w:rsidR="00DB7901" w:rsidRPr="006077ED" w:rsidRDefault="00FF47F7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after="240" w:line="300" w:lineRule="atLeast"/>
                          <w:rPr>
                            <w:rFonts w:ascii="Helvetica" w:hAnsi="Helvetica"/>
                            <w:sz w:val="24"/>
                            <w:szCs w:val="24"/>
                            <w:lang w:val="fr-FR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  <w:lang w:val="fr-FR"/>
                          </w:rPr>
                          <w:t>Patient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’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s address label is added to the top of the box/bag. Earliest expiry date of medications and date of dispensing also completed on outside of box/bag.</w:t>
                        </w:r>
                      </w:p>
                    </w:txbxContent>
                  </v:textbox>
                </v:shape>
                <v:shape id="Shape 1073741827" o:spid="_x0000_s1032" type="#_x0000_t202" style="position:absolute;left:34;top:22144;width:61072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yj8gA&#10;AADjAAAADwAAAGRycy9kb3ducmV2LnhtbERP3WvCMBB/H+x/CDfwZczUD6x0RhkFUV8GdoO9Hs2t&#10;KWsuXZJp3V+/DAQf7/d9q81gO3EiH1rHCibjDARx7XTLjYL3t+3TEkSIyBo7x6TgQgE26/u7FRba&#10;nflIpyo2IoVwKFCBibEvpAy1IYth7HrixH06bzGm0zdSezyncNvJaZYtpMWWU4PBnkpD9Vf1YxUs&#10;3G9Jl/LbW03u8PhhdtXhdafU6GF4eQYRaYg38dW912l+ls/y+WQ5zeH/pwS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gHKPyAAAAOMAAAAPAAAAAAAAAAAAAAAAAJgCAABk&#10;cnMvZG93bnJldi54bWxQSwUGAAAAAAQABAD1AAAAjQMAAAAA&#10;" filled="f" strokeweight="1pt">
                  <v:stroke miterlimit="4"/>
                  <v:textbox inset="8pt,8pt,8pt,8pt">
                    <w:txbxContent>
                      <w:p w:rsidR="00DB7901" w:rsidRPr="006077ED" w:rsidRDefault="00FF47F7">
                        <w:pPr>
                          <w:pStyle w:val="Default"/>
                          <w:spacing w:after="240" w:line="300" w:lineRule="atLeast"/>
                          <w:rPr>
                            <w:rFonts w:ascii="Helvetica" w:hAnsi="Helvetica"/>
                          </w:rPr>
                        </w:pP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Patient takes FP10 to chosen pharmacy, or FP10 collected by patient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’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s chosen ph</w:t>
                        </w:r>
                        <w:r w:rsidRP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armacy. </w:t>
                        </w:r>
                      </w:p>
                    </w:txbxContent>
                  </v:textbox>
                </v:shape>
                <v:line id="_x0000_s1033" style="position:absolute;visibility:visible;mso-wrap-style:square" from="30553,68227" to="30553,7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dV4MgAAADjAAAADwAAAGRycy9kb3ducmV2LnhtbERPzU4CMRC+m/AOzZh4k+4KCq4UoiZE&#10;iTEGxPtkO2wL2+mmrbC+PTUx8Tjf/8wWvWvFkUK0nhWUwwIEce215UbB9nN5PQURE7LG1jMp+KEI&#10;i/ngYoaV9ide03GTGpFDOFaowKTUVVLG2pDDOPQdceZ2PjhM+QyN1AFPOdy18qYo7qRDy7nBYEfP&#10;hurD5tspWNf3L09Wa/O2D6v97df7zo63H0pdXfaPDyAS9elf/Od+1Xl+MRlNxuV0VMLvTxkAOT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2dV4MgAAADjAAAADwAAAAAA&#10;AAAAAAAAAAChAgAAZHJzL2Rvd25yZXYueG1sUEsFBgAAAAAEAAQA+QAAAJYDAAAAAA==&#10;" strokeweight="2pt">
                  <v:stroke endarrow="block" miterlimit="4" joinstyle="miter"/>
                </v:line>
                <v:shape id="Shape 1073741832" o:spid="_x0000_s1034" type="#_x0000_t202" style="position:absolute;top:58233;width:61071;height:9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HysgA&#10;AADjAAAADwAAAGRycy9kb3ducmV2LnhtbERPS2sCMRC+C/0PYQpepGZ9oLI1Slko6kXottDrsJlu&#10;lm4m2yTVtb++EQSP871nve1tK07kQ+NYwWScgSCunG64VvDx/vq0AhEissbWMSm4UIDt5mGwxly7&#10;M7/RqYy1SCEcclRgYuxyKUNlyGIYu444cV/OW4zp9LXUHs8p3LZymmULabHh1GCwo8JQ9V3+WgUL&#10;91fQpfjxVpM7jD7Nrjwcd0oNH/uXZxCR+ngX39x7neZny9lyPlnNpnD9KQEgN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LkfKyAAAAOMAAAAPAAAAAAAAAAAAAAAAAJgCAABk&#10;cnMvZG93bnJldi54bWxQSwUGAAAAAAQABAD1AAAAjQMAAAAA&#10;" filled="f" strokeweight="1pt">
                  <v:stroke miterlimit="4"/>
                  <v:textbox inset="8pt,8pt,8pt,8pt">
                    <w:txbxContent>
                      <w:p w:rsidR="00DB7901" w:rsidRDefault="00FF47F7">
                        <w:pPr>
                          <w:pStyle w:val="Default"/>
                          <w:spacing w:after="240" w:line="300" w:lineRule="atLeast"/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After discussion with patient/</w:t>
                        </w:r>
                        <w:proofErr w:type="spellStart"/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carer</w:t>
                        </w:r>
                        <w:proofErr w:type="spellEnd"/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the 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‘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Your Just in Case box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 xml:space="preserve">’ 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leaflet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can be slotted</w:t>
                        </w:r>
                        <w:r w:rsid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so it is sticking out of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box, this keeps it safe and available for further reference.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‘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Just in Case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’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Box and lea</w:t>
                        </w:r>
                        <w:r w:rsidR="006077ED">
                          <w:rPr>
                            <w:rFonts w:ascii="Helvetica" w:hAnsi="Helvetica"/>
                            <w:sz w:val="24"/>
                            <w:szCs w:val="24"/>
                          </w:rPr>
                          <w:t>flet either handed to patient /</w:t>
                        </w:r>
                        <w:proofErr w:type="spellStart"/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carer</w:t>
                        </w:r>
                        <w:proofErr w:type="spellEnd"/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or delivered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 by pharmacy.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‘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Just in Case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 xml:space="preserve">’ 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bags do not require a leaflet.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hyperlink r:id="rId8" w:history="1">
        <w:r w:rsidRPr="006077ED">
          <w:rPr>
            <w:rStyle w:val="Hyperlink0"/>
            <w:rFonts w:ascii="Helvetica" w:hAnsi="Helvetica"/>
          </w:rPr>
          <w:t>glccg.justincasebox@nhs.net</w:t>
        </w:r>
      </w:hyperlink>
    </w:p>
    <w:p w:rsidR="00DB7901" w:rsidRPr="006077ED" w:rsidRDefault="00DB7901">
      <w:pPr>
        <w:pStyle w:val="BodyA"/>
        <w:jc w:val="center"/>
        <w:rPr>
          <w:rFonts w:ascii="Helvetica" w:hAnsi="Helvetica"/>
          <w:b/>
          <w:bCs/>
          <w:color w:val="ED220B"/>
          <w:sz w:val="24"/>
          <w:szCs w:val="24"/>
          <w:u w:val="single" w:color="ED220B"/>
        </w:rPr>
      </w:pPr>
    </w:p>
    <w:p w:rsidR="00DB7901" w:rsidRPr="006077ED" w:rsidRDefault="00DB7901">
      <w:pPr>
        <w:pStyle w:val="BodyA"/>
        <w:jc w:val="center"/>
        <w:rPr>
          <w:rFonts w:ascii="Helvetica" w:hAnsi="Helvetica"/>
          <w:b/>
          <w:bCs/>
          <w:color w:val="ED220B"/>
          <w:sz w:val="24"/>
          <w:szCs w:val="24"/>
          <w:u w:val="single" w:color="ED220B"/>
        </w:rPr>
      </w:pPr>
    </w:p>
    <w:p w:rsidR="00DB7901" w:rsidRPr="006077ED" w:rsidRDefault="00DB7901">
      <w:pPr>
        <w:pStyle w:val="BodyA"/>
        <w:jc w:val="center"/>
        <w:rPr>
          <w:rFonts w:ascii="Helvetica" w:hAnsi="Helvetica"/>
          <w:b/>
          <w:bCs/>
          <w:color w:val="ED220B"/>
          <w:sz w:val="24"/>
          <w:szCs w:val="24"/>
          <w:u w:val="single" w:color="ED220B"/>
        </w:rPr>
      </w:pPr>
    </w:p>
    <w:p w:rsidR="00DB7901" w:rsidRPr="006077ED" w:rsidRDefault="00FF47F7">
      <w:pPr>
        <w:pStyle w:val="BodyA"/>
        <w:jc w:val="center"/>
        <w:rPr>
          <w:rFonts w:ascii="Helvetica" w:hAnsi="Helvetica"/>
          <w:b/>
          <w:bCs/>
          <w:color w:val="ED220B"/>
          <w:sz w:val="24"/>
          <w:szCs w:val="24"/>
          <w:u w:val="single" w:color="ED220B"/>
        </w:rPr>
      </w:pPr>
      <w:r w:rsidRPr="006077ED">
        <w:rPr>
          <w:rFonts w:ascii="Helvetica" w:hAnsi="Helvetica"/>
          <w:b/>
          <w:bCs/>
          <w:noProof/>
          <w:color w:val="ED220B"/>
          <w:sz w:val="24"/>
          <w:szCs w:val="24"/>
          <w:u w:val="single" w:color="ED220B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938D24" wp14:editId="169A900C">
                <wp:simplePos x="0" y="0"/>
                <wp:positionH relativeFrom="margin">
                  <wp:posOffset>-1319</wp:posOffset>
                </wp:positionH>
                <wp:positionV relativeFrom="page">
                  <wp:posOffset>726440</wp:posOffset>
                </wp:positionV>
                <wp:extent cx="6107113" cy="201962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113" cy="20196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B7901" w:rsidRPr="006077ED" w:rsidRDefault="00FF47F7">
                            <w:pPr>
                              <w:pStyle w:val="Default"/>
                              <w:spacing w:after="240" w:line="300" w:lineRule="atLeast"/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 w:rsidRPr="006077ED"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Record ‘Just in Case’ box/bag issued on PharmOutcomes system </w:t>
                            </w:r>
                            <w:r w:rsidRP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if you do not</w:t>
                            </w:r>
                            <w:r w:rsidRPr="006077ED"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have access to this please complete the paper/electronic</w:t>
                            </w:r>
                            <w:r w:rsidRPr="006077ED"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‘JICB Dispensing Claim Form”.</w:t>
                            </w:r>
                          </w:p>
                          <w:p w:rsidR="00DB7901" w:rsidRPr="006077ED" w:rsidRDefault="00FF47F7">
                            <w:pPr>
                              <w:pStyle w:val="Default"/>
                              <w:spacing w:after="240" w:line="300" w:lineRule="atLeast"/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 w:rsidRP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When a ‘Just in Case’ box/bag is returned please complete either the </w:t>
                            </w:r>
                            <w:r w:rsidRPr="006077ED"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PharmOutcomes template showing return or the returns form</w:t>
                            </w:r>
                            <w:r w:rsidRP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found inside the box</w:t>
                            </w:r>
                            <w:r w:rsid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/bag</w:t>
                            </w:r>
                            <w:r w:rsidRP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and return via email. </w:t>
                            </w:r>
                          </w:p>
                          <w:p w:rsidR="00DB7901" w:rsidRPr="006077ED" w:rsidRDefault="00FF47F7">
                            <w:pPr>
                              <w:pStyle w:val="Default"/>
                              <w:spacing w:after="240" w:line="300" w:lineRule="atLeast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6077ED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Dispose of any unused medications and the box or bag appropriately.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.1pt;margin-top:57.2pt;width:480.9pt;height:159.0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" filled="f" strokeweight="1pt">
                <v:stroke miterlimit="4"/>
                <v:textbox inset="8pt,8pt,8pt,8pt">
                  <w:txbxContent>
                    <w:p w:rsidR="00DB7901" w:rsidRPr="006077ED" w:rsidRDefault="00FF47F7">
                      <w:pPr>
                        <w:pStyle w:val="Default"/>
                        <w:spacing w:after="240" w:line="300" w:lineRule="atLeast"/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proofErr w:type="gramStart"/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ecord 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‘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Just in Case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’ 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box/bag issued on </w:t>
                      </w:r>
                      <w:proofErr w:type="spellStart"/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PharmOutcomes</w:t>
                      </w:r>
                      <w:proofErr w:type="spellEnd"/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 system 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>if you do not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>have access to this please complete the paper/electronic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 ‘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JICB Dispensing Claim Form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DB7901" w:rsidRPr="006077ED" w:rsidRDefault="00FF47F7">
                      <w:pPr>
                        <w:pStyle w:val="Default"/>
                        <w:spacing w:after="240" w:line="300" w:lineRule="atLeast"/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When a 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>‘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>Just in Case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’ 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>box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/bag is returned please complete either the </w:t>
                      </w:r>
                      <w:proofErr w:type="spellStart"/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>PharmOutcomes</w:t>
                      </w:r>
                      <w:proofErr w:type="spellEnd"/>
                      <w:r w:rsidRPr="006077ED">
                        <w:rPr>
                          <w:rFonts w:ascii="Helvetica" w:hAnsi="Helvetica"/>
                          <w:b/>
                          <w:bCs/>
                          <w:sz w:val="24"/>
                          <w:szCs w:val="24"/>
                        </w:rPr>
                        <w:t xml:space="preserve"> template showing return or the returns form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found inside the box</w:t>
                      </w:r>
                      <w:r w:rsidR="006077ED">
                        <w:rPr>
                          <w:rFonts w:ascii="Helvetica" w:hAnsi="Helvetica"/>
                          <w:sz w:val="24"/>
                          <w:szCs w:val="24"/>
                        </w:rPr>
                        <w:t>/bag</w:t>
                      </w: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and return via email. </w:t>
                      </w:r>
                    </w:p>
                    <w:p w:rsidR="00DB7901" w:rsidRPr="006077ED" w:rsidRDefault="00FF47F7">
                      <w:pPr>
                        <w:pStyle w:val="Default"/>
                        <w:spacing w:after="240" w:line="300" w:lineRule="atLeast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6077ED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Dispose of any unused medications and the box or bag appropriately.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901" w:rsidRPr="006077ED" w:rsidRDefault="00DB7901">
      <w:pPr>
        <w:pStyle w:val="BodyA"/>
        <w:jc w:val="center"/>
        <w:rPr>
          <w:rFonts w:ascii="Helvetica" w:hAnsi="Helvetica"/>
          <w:b/>
          <w:bCs/>
          <w:sz w:val="24"/>
          <w:szCs w:val="24"/>
          <w:u w:val="single"/>
        </w:rPr>
      </w:pPr>
    </w:p>
    <w:p w:rsidR="00DB7901" w:rsidRPr="006077ED" w:rsidRDefault="00FF47F7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  <w:r w:rsidRPr="006077ED">
        <w:rPr>
          <w:rFonts w:ascii="Helvetica" w:hAnsi="Helvetica"/>
          <w:b/>
          <w:bCs/>
          <w:color w:val="000000"/>
          <w:u w:color="000000"/>
        </w:rPr>
        <w:t>Changes to a sealed ‘Just in Case’ box/bag</w:t>
      </w:r>
    </w:p>
    <w:p w:rsidR="00DB7901" w:rsidRPr="006077ED" w:rsidRDefault="00FF47F7">
      <w:pPr>
        <w:pStyle w:val="LabelA"/>
        <w:jc w:val="left"/>
        <w:rPr>
          <w:rFonts w:ascii="Helvetica" w:hAnsi="Helvetica"/>
          <w:color w:val="000000"/>
          <w:u w:color="000000"/>
        </w:rPr>
      </w:pPr>
      <w:r w:rsidRPr="006077ED">
        <w:rPr>
          <w:rFonts w:ascii="Helvetica" w:hAnsi="Helvetica"/>
          <w:color w:val="000000"/>
          <w:u w:color="000000"/>
        </w:rPr>
        <w:t xml:space="preserve">If the patient’s condition changes it may become appropriate to change the medications within the dispensed ‘Just in Case’ box/bag. The sealed ‘Just in Case’ medication should be returned to the pharmacy and a new FP10 “For JICB” issued by the prescriber. A new ‘Just in Case’ box/bag will need to be used as the date of expiry will not correspond to the new medications. This should be recorded as a </w:t>
      </w:r>
      <w:r w:rsidRPr="00E00CE3">
        <w:rPr>
          <w:rFonts w:ascii="Helvetica" w:hAnsi="Helvetica"/>
          <w:bCs/>
          <w:color w:val="000000"/>
          <w:u w:color="000000"/>
        </w:rPr>
        <w:t>new claim</w:t>
      </w:r>
      <w:r w:rsidRPr="006077ED">
        <w:rPr>
          <w:rFonts w:ascii="Helvetica" w:hAnsi="Helvetica"/>
          <w:color w:val="000000"/>
          <w:u w:color="000000"/>
        </w:rPr>
        <w:t xml:space="preserve"> on PharmOutcomes. </w:t>
      </w:r>
    </w:p>
    <w:p w:rsidR="00DB7901" w:rsidRPr="006077ED" w:rsidRDefault="00DB7901">
      <w:pPr>
        <w:pStyle w:val="LabelA"/>
        <w:jc w:val="left"/>
        <w:rPr>
          <w:rFonts w:ascii="Helvetica" w:hAnsi="Helvetica"/>
          <w:color w:val="000000"/>
          <w:u w:color="000000"/>
        </w:rPr>
      </w:pPr>
    </w:p>
    <w:p w:rsidR="00DB7901" w:rsidRPr="006077ED" w:rsidRDefault="00FF47F7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  <w:r w:rsidRPr="006077ED">
        <w:rPr>
          <w:rFonts w:ascii="Helvetica" w:hAnsi="Helvetica"/>
          <w:b/>
          <w:bCs/>
          <w:color w:val="000000"/>
          <w:u w:color="000000"/>
        </w:rPr>
        <w:t>Restocking medication once box/bag is open</w:t>
      </w:r>
    </w:p>
    <w:p w:rsidR="00DB7901" w:rsidRPr="006077ED" w:rsidRDefault="00FF47F7">
      <w:pPr>
        <w:pStyle w:val="LabelA"/>
        <w:jc w:val="left"/>
        <w:rPr>
          <w:rFonts w:ascii="Helvetica" w:hAnsi="Helvetica"/>
          <w:color w:val="000000"/>
          <w:u w:color="000000"/>
        </w:rPr>
      </w:pPr>
      <w:r w:rsidRPr="006077ED">
        <w:rPr>
          <w:rFonts w:ascii="Helvetica" w:hAnsi="Helvetica"/>
          <w:color w:val="000000"/>
          <w:u w:color="000000"/>
        </w:rPr>
        <w:t>If more medication is needed to restock a ‘Just in Case’ box or bag the GP should prescribe this as a standard FP10. Once the box</w:t>
      </w:r>
      <w:r w:rsidR="00E00CE3">
        <w:rPr>
          <w:rFonts w:ascii="Helvetica" w:hAnsi="Helvetica"/>
          <w:color w:val="000000"/>
          <w:u w:color="000000"/>
        </w:rPr>
        <w:t>/bag</w:t>
      </w:r>
      <w:r w:rsidRPr="006077ED">
        <w:rPr>
          <w:rFonts w:ascii="Helvetica" w:hAnsi="Helvetica"/>
          <w:color w:val="000000"/>
          <w:u w:color="000000"/>
        </w:rPr>
        <w:t xml:space="preserve"> has been opened further stock will not be issued as a ‘Just in Case’ box/bag</w:t>
      </w:r>
      <w:r w:rsidR="00E00CE3">
        <w:rPr>
          <w:rFonts w:ascii="Helvetica" w:hAnsi="Helvetica"/>
          <w:color w:val="000000"/>
          <w:u w:color="000000"/>
        </w:rPr>
        <w:t>. Please dispense as normal to the patient or carer and the patient’s nursing team will</w:t>
      </w:r>
      <w:r w:rsidRPr="006077ED">
        <w:rPr>
          <w:rFonts w:ascii="Helvetica" w:hAnsi="Helvetica"/>
          <w:color w:val="000000"/>
          <w:u w:color="000000"/>
        </w:rPr>
        <w:t xml:space="preserve"> stored</w:t>
      </w:r>
      <w:r w:rsidR="00E00CE3">
        <w:rPr>
          <w:rFonts w:ascii="Helvetica" w:hAnsi="Helvetica"/>
          <w:color w:val="000000"/>
          <w:u w:color="000000"/>
        </w:rPr>
        <w:t xml:space="preserve"> them</w:t>
      </w:r>
      <w:r w:rsidRPr="006077ED">
        <w:rPr>
          <w:rFonts w:ascii="Helvetica" w:hAnsi="Helvetica"/>
          <w:color w:val="000000"/>
          <w:u w:color="000000"/>
        </w:rPr>
        <w:t xml:space="preserve"> in the original now unsealed ‘Just in Case’ box or bag</w:t>
      </w:r>
      <w:r w:rsidR="00E00CE3">
        <w:rPr>
          <w:rFonts w:ascii="Helvetica" w:hAnsi="Helvetica"/>
          <w:color w:val="000000"/>
          <w:u w:color="000000"/>
        </w:rPr>
        <w:t xml:space="preserve"> on their next visit to the patient</w:t>
      </w:r>
      <w:r w:rsidRPr="006077ED">
        <w:rPr>
          <w:rFonts w:ascii="Helvetica" w:hAnsi="Helvetica"/>
          <w:color w:val="000000"/>
          <w:u w:color="000000"/>
        </w:rPr>
        <w:t xml:space="preserve">. As no new box/bag has not been dispensed there will be </w:t>
      </w:r>
      <w:r w:rsidRPr="006077ED">
        <w:rPr>
          <w:rFonts w:ascii="Helvetica" w:hAnsi="Helvetica"/>
          <w:b/>
          <w:bCs/>
          <w:color w:val="000000"/>
          <w:u w:color="000000"/>
        </w:rPr>
        <w:t>no JICB claim</w:t>
      </w:r>
      <w:r w:rsidRPr="006077ED">
        <w:rPr>
          <w:rFonts w:ascii="Helvetica" w:hAnsi="Helvetica"/>
          <w:color w:val="000000"/>
          <w:u w:color="000000"/>
        </w:rPr>
        <w:t xml:space="preserve"> and will </w:t>
      </w:r>
      <w:r w:rsidRPr="006077ED">
        <w:rPr>
          <w:rFonts w:ascii="Helvetica" w:hAnsi="Helvetica"/>
          <w:b/>
          <w:bCs/>
          <w:color w:val="000000"/>
          <w:u w:color="000000"/>
        </w:rPr>
        <w:t xml:space="preserve">not </w:t>
      </w:r>
      <w:r w:rsidRPr="006077ED">
        <w:rPr>
          <w:rFonts w:ascii="Helvetica" w:hAnsi="Helvetica"/>
          <w:color w:val="000000"/>
          <w:u w:color="000000"/>
        </w:rPr>
        <w:t xml:space="preserve">require a second entry on PharmOutcomes. </w:t>
      </w:r>
    </w:p>
    <w:p w:rsidR="00DB7901" w:rsidRPr="006077ED" w:rsidRDefault="00DB7901">
      <w:pPr>
        <w:pStyle w:val="LabelA"/>
        <w:jc w:val="left"/>
        <w:rPr>
          <w:rFonts w:ascii="Helvetica" w:hAnsi="Helvetica"/>
          <w:color w:val="000000"/>
          <w:u w:color="000000"/>
        </w:rPr>
      </w:pPr>
    </w:p>
    <w:p w:rsidR="00DB7901" w:rsidRPr="006077ED" w:rsidRDefault="00FF47F7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  <w:r w:rsidRPr="006077ED">
        <w:rPr>
          <w:rFonts w:ascii="Helvetica" w:hAnsi="Helvetica"/>
          <w:b/>
          <w:bCs/>
          <w:color w:val="000000"/>
          <w:u w:color="000000"/>
        </w:rPr>
        <w:t>Opened in error?</w:t>
      </w:r>
    </w:p>
    <w:p w:rsidR="006077ED" w:rsidRPr="006077ED" w:rsidRDefault="00FF47F7" w:rsidP="006077ED">
      <w:pPr>
        <w:pStyle w:val="LabelA"/>
        <w:jc w:val="left"/>
        <w:rPr>
          <w:rFonts w:ascii="Helvetica" w:hAnsi="Helvetica"/>
          <w:color w:val="000000"/>
          <w:u w:color="000000"/>
        </w:rPr>
      </w:pPr>
      <w:r w:rsidRPr="006077ED">
        <w:rPr>
          <w:rFonts w:ascii="Helvetica" w:hAnsi="Helvetica"/>
          <w:color w:val="000000"/>
          <w:u w:color="000000"/>
        </w:rPr>
        <w:t xml:space="preserve">If the box/bag is opened in error the patient or family should return it to the pharmacy who will check the contents. </w:t>
      </w:r>
      <w:r w:rsidR="006077ED" w:rsidRPr="006077ED">
        <w:rPr>
          <w:rFonts w:ascii="Helvetica" w:hAnsi="Helvetica"/>
          <w:color w:val="000000"/>
          <w:u w:color="000000"/>
        </w:rPr>
        <w:t>A new ‘Just in Cas</w:t>
      </w:r>
      <w:r w:rsidR="006077ED">
        <w:rPr>
          <w:rFonts w:ascii="Helvetica" w:hAnsi="Helvetica"/>
          <w:color w:val="000000"/>
          <w:u w:color="000000"/>
        </w:rPr>
        <w:t xml:space="preserve">e’ box/bag will need to be issued. </w:t>
      </w:r>
      <w:r w:rsidR="006077ED" w:rsidRPr="006077ED">
        <w:rPr>
          <w:rFonts w:ascii="Helvetica" w:hAnsi="Helvetica"/>
          <w:color w:val="000000"/>
          <w:u w:color="000000"/>
        </w:rPr>
        <w:t xml:space="preserve">This should be recorded </w:t>
      </w:r>
      <w:r w:rsidR="00E00CE3">
        <w:rPr>
          <w:rFonts w:ascii="Helvetica" w:hAnsi="Helvetica"/>
          <w:color w:val="000000"/>
          <w:u w:color="000000"/>
        </w:rPr>
        <w:t xml:space="preserve">on PharmOutcomes as a new claim. </w:t>
      </w:r>
    </w:p>
    <w:p w:rsidR="00DB7901" w:rsidRPr="006077ED" w:rsidRDefault="00DB7901">
      <w:pPr>
        <w:pStyle w:val="LabelA"/>
        <w:jc w:val="left"/>
        <w:rPr>
          <w:rFonts w:ascii="Helvetica" w:hAnsi="Helvetica"/>
          <w:b/>
          <w:color w:val="000000"/>
          <w:u w:color="000000"/>
        </w:rPr>
      </w:pPr>
    </w:p>
    <w:p w:rsidR="00DB7901" w:rsidRPr="006077ED" w:rsidRDefault="00FF47F7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  <w:r w:rsidRPr="006077ED">
        <w:rPr>
          <w:rFonts w:ascii="Helvetica" w:hAnsi="Helvetica"/>
          <w:b/>
          <w:bCs/>
          <w:color w:val="000000"/>
          <w:u w:color="000000"/>
        </w:rPr>
        <w:t>Damage to box or contents?</w:t>
      </w:r>
    </w:p>
    <w:p w:rsidR="00DB7901" w:rsidRPr="006077ED" w:rsidRDefault="00FF47F7">
      <w:pPr>
        <w:pStyle w:val="LabelA"/>
        <w:jc w:val="left"/>
        <w:rPr>
          <w:rFonts w:ascii="Helvetica" w:hAnsi="Helvetica"/>
          <w:color w:val="000000"/>
          <w:u w:color="000000"/>
        </w:rPr>
      </w:pPr>
      <w:r w:rsidRPr="006077ED">
        <w:rPr>
          <w:rFonts w:ascii="Helvetica" w:hAnsi="Helvetica"/>
          <w:color w:val="000000"/>
          <w:u w:color="000000"/>
        </w:rPr>
        <w:t xml:space="preserve">If the box/bag is damaged or there is concern the contents inside may be damaged the patient or family should return it to the pharmacy who will repack the medications in a </w:t>
      </w:r>
      <w:r w:rsidRPr="00E00CE3">
        <w:rPr>
          <w:rFonts w:ascii="Helvetica" w:hAnsi="Helvetica"/>
          <w:bCs/>
          <w:color w:val="000000"/>
          <w:u w:color="000000"/>
        </w:rPr>
        <w:t>new</w:t>
      </w:r>
      <w:r w:rsidRPr="00E00CE3">
        <w:rPr>
          <w:rFonts w:ascii="Helvetica" w:hAnsi="Helvetica"/>
          <w:color w:val="000000"/>
          <w:u w:color="000000"/>
        </w:rPr>
        <w:t xml:space="preserve"> </w:t>
      </w:r>
      <w:r w:rsidRPr="006077ED">
        <w:rPr>
          <w:rFonts w:ascii="Helvetica" w:hAnsi="Helvetica"/>
          <w:color w:val="000000"/>
          <w:u w:color="000000"/>
        </w:rPr>
        <w:t>'Just in Case' box/bag. If the medications are damaged pharmacy may require a new prescript</w:t>
      </w:r>
      <w:r w:rsidR="00E00CE3">
        <w:rPr>
          <w:rFonts w:ascii="Helvetica" w:hAnsi="Helvetica"/>
          <w:color w:val="000000"/>
          <w:u w:color="000000"/>
        </w:rPr>
        <w:t xml:space="preserve">ion from the GP. Replacing </w:t>
      </w:r>
      <w:r w:rsidRPr="006077ED">
        <w:rPr>
          <w:rFonts w:ascii="Helvetica" w:hAnsi="Helvetica"/>
          <w:color w:val="000000"/>
          <w:u w:color="000000"/>
        </w:rPr>
        <w:t xml:space="preserve">a damaged box should </w:t>
      </w:r>
      <w:r w:rsidR="00E00CE3">
        <w:rPr>
          <w:rFonts w:ascii="Helvetica" w:hAnsi="Helvetica"/>
          <w:color w:val="000000"/>
          <w:u w:color="000000"/>
        </w:rPr>
        <w:t xml:space="preserve">be recorded as a new claim on PharmOutcomes. </w:t>
      </w:r>
    </w:p>
    <w:p w:rsidR="00DB7901" w:rsidRPr="006077ED" w:rsidRDefault="00DB7901">
      <w:pPr>
        <w:pStyle w:val="LabelA"/>
        <w:jc w:val="left"/>
        <w:rPr>
          <w:rFonts w:ascii="Helvetica" w:hAnsi="Helvetica"/>
          <w:color w:val="000000"/>
          <w:u w:color="000000"/>
        </w:rPr>
      </w:pPr>
    </w:p>
    <w:p w:rsidR="00DB7901" w:rsidRPr="006077ED" w:rsidRDefault="00DB7901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</w:p>
    <w:p w:rsidR="00DB7901" w:rsidRPr="006077ED" w:rsidRDefault="00DB7901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</w:p>
    <w:p w:rsidR="00DB7901" w:rsidRPr="006077ED" w:rsidRDefault="00DB7901">
      <w:pPr>
        <w:pStyle w:val="LabelA"/>
        <w:jc w:val="left"/>
        <w:rPr>
          <w:rFonts w:ascii="Helvetica" w:hAnsi="Helvetica"/>
          <w:b/>
          <w:bCs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b/>
          <w:bCs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b/>
          <w:bCs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color w:val="000000"/>
          <w:u w:color="000000"/>
        </w:rPr>
      </w:pPr>
    </w:p>
    <w:p w:rsidR="00DB7901" w:rsidRPr="006077ED" w:rsidRDefault="00DB7901">
      <w:pPr>
        <w:pStyle w:val="LabelA"/>
        <w:rPr>
          <w:rFonts w:ascii="Helvetica" w:hAnsi="Helvetica"/>
          <w:color w:val="000000"/>
          <w:u w:color="000000"/>
        </w:rPr>
      </w:pPr>
    </w:p>
    <w:p w:rsidR="00DB7901" w:rsidRPr="006077ED" w:rsidRDefault="00FF47F7">
      <w:pPr>
        <w:pStyle w:val="LabelA"/>
        <w:rPr>
          <w:rFonts w:ascii="Helvetica" w:hAnsi="Helvetica"/>
          <w:b/>
          <w:bCs/>
          <w:color w:val="CC503E"/>
          <w:sz w:val="52"/>
          <w:szCs w:val="52"/>
          <w:u w:val="single" w:color="000000"/>
        </w:rPr>
      </w:pPr>
      <w:r w:rsidRPr="006077ED">
        <w:rPr>
          <w:rFonts w:ascii="Helvetica" w:hAnsi="Helvetica"/>
          <w:b/>
          <w:bCs/>
          <w:color w:val="CC503E"/>
          <w:sz w:val="52"/>
          <w:szCs w:val="52"/>
          <w:u w:val="single" w:color="000000"/>
        </w:rPr>
        <w:t>Example Pictures</w:t>
      </w:r>
    </w:p>
    <w:p w:rsidR="00DB7901" w:rsidRPr="006077ED" w:rsidRDefault="00DB7901">
      <w:pPr>
        <w:pStyle w:val="LabelA"/>
        <w:rPr>
          <w:rFonts w:ascii="Helvetica" w:hAnsi="Helvetica"/>
          <w:b/>
          <w:bCs/>
          <w:color w:val="CC503E"/>
          <w:sz w:val="52"/>
          <w:szCs w:val="52"/>
          <w:u w:color="000000"/>
        </w:rPr>
      </w:pPr>
    </w:p>
    <w:p w:rsidR="00DB7901" w:rsidRPr="006077ED" w:rsidRDefault="00FF47F7">
      <w:pPr>
        <w:pStyle w:val="LabelA"/>
        <w:rPr>
          <w:rFonts w:ascii="Helvetica" w:hAnsi="Helvetica"/>
          <w:b/>
          <w:bCs/>
          <w:color w:val="CC503E"/>
          <w:sz w:val="52"/>
          <w:szCs w:val="52"/>
          <w:u w:color="000000"/>
        </w:rPr>
      </w:pPr>
      <w:r w:rsidRPr="006077ED">
        <w:rPr>
          <w:rFonts w:ascii="Helvetica" w:hAnsi="Helvetica"/>
          <w:b/>
          <w:bCs/>
          <w:color w:val="CC503E"/>
          <w:sz w:val="52"/>
          <w:szCs w:val="52"/>
          <w:u w:color="000000"/>
        </w:rPr>
        <w:t>- Front of box/bag where to fill in patient details, expiry date etc</w:t>
      </w:r>
    </w:p>
    <w:p w:rsidR="00DB7901" w:rsidRPr="006077ED" w:rsidRDefault="00DB7901">
      <w:pPr>
        <w:pStyle w:val="LabelA"/>
        <w:rPr>
          <w:rFonts w:ascii="Helvetica" w:hAnsi="Helvetica"/>
          <w:b/>
          <w:bCs/>
          <w:color w:val="CC503E"/>
          <w:sz w:val="52"/>
          <w:szCs w:val="52"/>
          <w:u w:color="000000"/>
        </w:rPr>
      </w:pPr>
    </w:p>
    <w:p w:rsidR="00DB7901" w:rsidRPr="006077ED" w:rsidRDefault="00FF47F7">
      <w:pPr>
        <w:pStyle w:val="LabelA"/>
        <w:rPr>
          <w:rFonts w:ascii="Helvetica" w:hAnsi="Helvetica"/>
          <w:b/>
          <w:bCs/>
          <w:color w:val="CC503E"/>
          <w:sz w:val="52"/>
          <w:szCs w:val="52"/>
          <w:u w:color="000000"/>
        </w:rPr>
      </w:pPr>
      <w:r w:rsidRPr="006077ED">
        <w:rPr>
          <w:rFonts w:ascii="Helvetica" w:hAnsi="Helvetica"/>
          <w:b/>
          <w:bCs/>
          <w:color w:val="CC503E"/>
          <w:sz w:val="52"/>
          <w:szCs w:val="52"/>
          <w:u w:color="000000"/>
        </w:rPr>
        <w:t>- Pic of box with leaflet stuck out</w:t>
      </w:r>
    </w:p>
    <w:p w:rsidR="00DB7901" w:rsidRPr="006077ED" w:rsidRDefault="00DB7901">
      <w:pPr>
        <w:pStyle w:val="LabelA"/>
        <w:rPr>
          <w:rFonts w:ascii="Helvetica" w:hAnsi="Helvetica"/>
          <w:b/>
          <w:bCs/>
          <w:color w:val="CC503E"/>
          <w:sz w:val="52"/>
          <w:szCs w:val="52"/>
          <w:u w:color="000000"/>
        </w:rPr>
      </w:pPr>
    </w:p>
    <w:p w:rsidR="00DB7901" w:rsidRPr="006077ED" w:rsidRDefault="00FF47F7">
      <w:pPr>
        <w:pStyle w:val="LabelA"/>
        <w:rPr>
          <w:rFonts w:asciiTheme="minorHAnsi" w:hAnsiTheme="minorHAnsi"/>
        </w:rPr>
      </w:pPr>
      <w:r w:rsidRPr="006077ED">
        <w:rPr>
          <w:rFonts w:ascii="Helvetica" w:hAnsi="Helvetica"/>
          <w:b/>
          <w:bCs/>
          <w:color w:val="CC503E"/>
          <w:sz w:val="52"/>
          <w:szCs w:val="52"/>
          <w:u w:color="000000"/>
        </w:rPr>
        <w:t>- Pic of bag/box with the dispensing labels on (to remind them they need to place on outside as record of internal con</w:t>
      </w:r>
      <w:r w:rsidRPr="006077ED">
        <w:rPr>
          <w:rFonts w:asciiTheme="minorHAnsi" w:hAnsiTheme="minorHAnsi"/>
          <w:b/>
          <w:bCs/>
          <w:color w:val="CC503E"/>
          <w:sz w:val="52"/>
          <w:szCs w:val="52"/>
          <w:u w:color="000000"/>
        </w:rPr>
        <w:t>tents, may need Becky to take this pic in pharmacy?)</w:t>
      </w:r>
    </w:p>
    <w:sectPr w:rsidR="00DB7901" w:rsidRPr="006077ED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F7" w:rsidRDefault="00FF47F7">
      <w:r>
        <w:separator/>
      </w:r>
    </w:p>
  </w:endnote>
  <w:endnote w:type="continuationSeparator" w:id="0">
    <w:p w:rsidR="00FF47F7" w:rsidRDefault="00F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29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0CE3" w:rsidRDefault="00E00C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313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313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B7901" w:rsidRDefault="00DB790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F7" w:rsidRDefault="00FF47F7">
      <w:r>
        <w:separator/>
      </w:r>
    </w:p>
  </w:footnote>
  <w:footnote w:type="continuationSeparator" w:id="0">
    <w:p w:rsidR="00FF47F7" w:rsidRDefault="00FF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0C3"/>
    <w:multiLevelType w:val="hybridMultilevel"/>
    <w:tmpl w:val="D0666742"/>
    <w:lvl w:ilvl="0" w:tplc="C88A02D8">
      <w:start w:val="1"/>
      <w:numFmt w:val="bullet"/>
      <w:lvlText w:val="•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03B9E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EB912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0BF30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90B6B6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CF110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6E1D4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8251E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C9B82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C88A02D8">
        <w:start w:val="1"/>
        <w:numFmt w:val="bullet"/>
        <w:lvlText w:val="•"/>
        <w:lvlJc w:val="left"/>
        <w:pPr>
          <w:ind w:left="21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403B9E">
        <w:start w:val="1"/>
        <w:numFmt w:val="bullet"/>
        <w:lvlText w:val="•"/>
        <w:lvlJc w:val="left"/>
        <w:pPr>
          <w:ind w:left="39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EB912">
        <w:start w:val="1"/>
        <w:numFmt w:val="bullet"/>
        <w:lvlText w:val="•"/>
        <w:lvlJc w:val="left"/>
        <w:pPr>
          <w:ind w:left="57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D0BF30">
        <w:start w:val="1"/>
        <w:numFmt w:val="bullet"/>
        <w:lvlText w:val="•"/>
        <w:lvlJc w:val="left"/>
        <w:pPr>
          <w:ind w:left="75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90B6B6">
        <w:start w:val="1"/>
        <w:numFmt w:val="bullet"/>
        <w:lvlText w:val="•"/>
        <w:lvlJc w:val="left"/>
        <w:pPr>
          <w:ind w:left="93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CCF110">
        <w:start w:val="1"/>
        <w:numFmt w:val="bullet"/>
        <w:lvlText w:val="•"/>
        <w:lvlJc w:val="left"/>
        <w:pPr>
          <w:ind w:left="111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6E1D4">
        <w:start w:val="1"/>
        <w:numFmt w:val="bullet"/>
        <w:lvlText w:val="•"/>
        <w:lvlJc w:val="left"/>
        <w:pPr>
          <w:ind w:left="129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D8251E">
        <w:start w:val="1"/>
        <w:numFmt w:val="bullet"/>
        <w:lvlText w:val="•"/>
        <w:lvlJc w:val="left"/>
        <w:pPr>
          <w:ind w:left="147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6C9B82">
        <w:start w:val="1"/>
        <w:numFmt w:val="bullet"/>
        <w:lvlText w:val="•"/>
        <w:lvlJc w:val="left"/>
        <w:pPr>
          <w:ind w:left="165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7901"/>
    <w:rsid w:val="006077ED"/>
    <w:rsid w:val="00DB7901"/>
    <w:rsid w:val="00DE313E"/>
    <w:rsid w:val="00E00CE3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b/>
      <w:bCs/>
      <w:color w:val="0000FF"/>
      <w:sz w:val="28"/>
      <w:szCs w:val="28"/>
      <w:u w:val="single" w:color="0000FF"/>
    </w:rPr>
  </w:style>
  <w:style w:type="paragraph" w:customStyle="1" w:styleId="LabelA">
    <w:name w:val="Label A"/>
    <w:pPr>
      <w:jc w:val="center"/>
    </w:pPr>
    <w:rPr>
      <w:rFonts w:ascii="Helvetica Neue" w:eastAsia="Helvetica Neue" w:hAnsi="Helvetica Neue" w:cs="Helvetica Neue"/>
      <w:color w:val="FFFFFF"/>
      <w:sz w:val="24"/>
      <w:szCs w:val="24"/>
      <w:u w:color="FFFFFF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0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0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b/>
      <w:bCs/>
      <w:color w:val="0000FF"/>
      <w:sz w:val="28"/>
      <w:szCs w:val="28"/>
      <w:u w:val="single" w:color="0000FF"/>
    </w:rPr>
  </w:style>
  <w:style w:type="paragraph" w:customStyle="1" w:styleId="LabelA">
    <w:name w:val="Label A"/>
    <w:pPr>
      <w:jc w:val="center"/>
    </w:pPr>
    <w:rPr>
      <w:rFonts w:ascii="Helvetica Neue" w:eastAsia="Helvetica Neue" w:hAnsi="Helvetica Neue" w:cs="Helvetica Neue"/>
      <w:color w:val="FFFFFF"/>
      <w:sz w:val="24"/>
      <w:szCs w:val="24"/>
      <w:u w:color="FFFFFF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0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0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ccg.justincaseboxpilot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>
              <a:solidFill>
                <a:srgbClr val="FFFFFF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Karen - Sanger House PCT HQ</dc:creator>
  <cp:lastModifiedBy>Administrator</cp:lastModifiedBy>
  <cp:revision>2</cp:revision>
  <dcterms:created xsi:type="dcterms:W3CDTF">2018-11-09T10:35:00Z</dcterms:created>
  <dcterms:modified xsi:type="dcterms:W3CDTF">2018-11-09T10:35:00Z</dcterms:modified>
</cp:coreProperties>
</file>